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5204776" w:displacedByCustomXml="next"/>
    <w:bookmarkEnd w:id="0" w:displacedByCustomXml="next"/>
    <w:sdt>
      <w:sdtPr>
        <w:id w:val="1744834152"/>
        <w:docPartObj>
          <w:docPartGallery w:val="Cover Pages"/>
          <w:docPartUnique/>
        </w:docPartObj>
      </w:sdtPr>
      <w:sdtEndPr>
        <w:rPr>
          <w:rFonts w:ascii="Times New Roman" w:hAnsi="Times New Roman" w:cs="Times New Roman"/>
          <w:sz w:val="24"/>
          <w:szCs w:val="24"/>
        </w:rPr>
      </w:sdtEndPr>
      <w:sdtContent>
        <w:p w14:paraId="0423120D" w14:textId="0B64C5AD" w:rsidR="00F0470D" w:rsidRPr="001F5B24" w:rsidRDefault="00F17597">
          <w:pPr>
            <w:rPr>
              <w:rFonts w:ascii="Times New Roman" w:hAnsi="Times New Roman" w:cs="Times New Roman"/>
            </w:rPr>
          </w:pPr>
          <w:r w:rsidRPr="001F5B24">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55A60D8D" wp14:editId="5E62B705">
                    <wp:simplePos x="0" y="0"/>
                    <wp:positionH relativeFrom="page">
                      <wp:align>center</wp:align>
                    </wp:positionH>
                    <wp:positionV relativeFrom="page">
                      <wp:align>center</wp:align>
                    </wp:positionV>
                    <wp:extent cx="6852717" cy="9142451"/>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52717" cy="9142451"/>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Author"/>
                                    <w:id w:val="945428907"/>
                                    <w:dataBinding w:prefixMappings="xmlns:ns0='http://purl.org/dc/elements/1.1/' xmlns:ns1='http://schemas.openxmlformats.org/package/2006/metadata/core-properties' " w:xpath="/ns1:coreProperties[1]/ns0:creator[1]" w:storeItemID="{6C3C8BC8-F283-45AE-878A-BAB7291924A1}"/>
                                    <w:text/>
                                  </w:sdtPr>
                                  <w:sdtEndPr/>
                                  <w:sdtContent>
                                    <w:p w14:paraId="7F40F7D9" w14:textId="77777777" w:rsidR="00F0470D" w:rsidRPr="001F5B24" w:rsidRDefault="00F17597">
                                      <w:pPr>
                                        <w:pStyle w:val="NoSpacing"/>
                                        <w:spacing w:before="120"/>
                                        <w:jc w:val="center"/>
                                        <w:rPr>
                                          <w:rFonts w:ascii="Times New Roman" w:hAnsi="Times New Roman" w:cs="Times New Roman"/>
                                          <w:color w:val="FFFFFF" w:themeColor="background1"/>
                                          <w:sz w:val="28"/>
                                          <w:szCs w:val="28"/>
                                        </w:rPr>
                                      </w:pPr>
                                      <w:r w:rsidRPr="001F5B24">
                                        <w:rPr>
                                          <w:rFonts w:ascii="Times New Roman" w:hAnsi="Times New Roman" w:cs="Times New Roman"/>
                                          <w:color w:val="FFFFFF" w:themeColor="background1"/>
                                          <w:sz w:val="28"/>
                                          <w:szCs w:val="28"/>
                                        </w:rPr>
                                        <w:t>Amalia Mejia</w:t>
                                      </w:r>
                                    </w:p>
                                  </w:sdtContent>
                                </w:sdt>
                                <w:p w14:paraId="7A7130F8" w14:textId="77777777" w:rsidR="00F0470D" w:rsidRPr="001F5B24" w:rsidRDefault="00D330B3">
                                  <w:pPr>
                                    <w:pStyle w:val="NoSpacing"/>
                                    <w:spacing w:before="120"/>
                                    <w:jc w:val="center"/>
                                    <w:rPr>
                                      <w:rFonts w:ascii="Times New Roman" w:hAnsi="Times New Roman" w:cs="Times New Roman"/>
                                      <w:color w:val="FFFFFF" w:themeColor="background1"/>
                                      <w:sz w:val="24"/>
                                      <w:szCs w:val="24"/>
                                    </w:rPr>
                                  </w:pPr>
                                  <w:sdt>
                                    <w:sdtPr>
                                      <w:rPr>
                                        <w:rFonts w:ascii="Times New Roman" w:hAnsi="Times New Roman" w:cs="Times New Roman"/>
                                        <w:caps/>
                                        <w:color w:val="FFFFFF" w:themeColor="background1"/>
                                        <w:sz w:val="24"/>
                                        <w:szCs w:val="24"/>
                                      </w:rPr>
                                      <w:alias w:val="Company"/>
                                      <w:id w:val="1618182777"/>
                                      <w:dataBinding w:prefixMappings="xmlns:ns0='http://schemas.openxmlformats.org/officeDocument/2006/extended-properties' " w:xpath="/ns0:Properties[1]/ns0:Company[1]" w:storeItemID="{6668398D-A668-4E3E-A5EB-62B293D839F1}"/>
                                      <w:text/>
                                    </w:sdtPr>
                                    <w:sdtEndPr/>
                                    <w:sdtContent>
                                      <w:r w:rsidR="002933C2" w:rsidRPr="001F5B24">
                                        <w:rPr>
                                          <w:rFonts w:ascii="Times New Roman" w:hAnsi="Times New Roman" w:cs="Times New Roman"/>
                                          <w:caps/>
                                          <w:color w:val="FFFFFF" w:themeColor="background1"/>
                                          <w:sz w:val="24"/>
                                          <w:szCs w:val="24"/>
                                        </w:rPr>
                                        <w:t>June 2021</w:t>
                                      </w:r>
                                    </w:sdtContent>
                                  </w:sdt>
                                  <w:r w:rsidR="00F17597" w:rsidRPr="001F5B24">
                                    <w:rPr>
                                      <w:rFonts w:ascii="Times New Roman" w:hAnsi="Times New Roman" w:cs="Times New Roman"/>
                                      <w:color w:val="FFFFFF" w:themeColor="background1"/>
                                      <w:sz w:val="24"/>
                                      <w:szCs w:val="24"/>
                                    </w:rPr>
                                    <w:t>  </w:t>
                                  </w:r>
                                  <w:sdt>
                                    <w:sdtPr>
                                      <w:rPr>
                                        <w:rFonts w:ascii="Times New Roman" w:hAnsi="Times New Roman" w:cs="Times New Roman"/>
                                        <w:color w:val="FFFFFF" w:themeColor="background1"/>
                                        <w:sz w:val="24"/>
                                        <w:szCs w:val="24"/>
                                      </w:rPr>
                                      <w:alias w:val="Address"/>
                                      <w:id w:val="-253358678"/>
                                      <w:dataBinding w:prefixMappings="xmlns:ns0='http://schemas.microsoft.com/office/2006/coverPageProps' " w:xpath="/ns0:CoverPageProperties[1]/ns0:CompanyAddress[1]" w:storeItemID="{55AF091B-3C7A-41E3-B477-F2FDAA23CFDA}"/>
                                      <w:text/>
                                    </w:sdtPr>
                                    <w:sdtEndPr/>
                                    <w:sdtContent>
                                      <w:r w:rsidR="002933C2" w:rsidRPr="001F5B24">
                                        <w:rPr>
                                          <w:rFonts w:ascii="Times New Roman" w:hAnsi="Times New Roman" w:cs="Times New Roman"/>
                                          <w:color w:val="FFFFFF" w:themeColor="background1"/>
                                          <w:sz w:val="24"/>
                                          <w:szCs w:val="24"/>
                                        </w:rPr>
                                        <w:t>am</w:t>
                                      </w:r>
                                      <w:r w:rsidR="006C6A2A" w:rsidRPr="001F5B24">
                                        <w:rPr>
                                          <w:rFonts w:ascii="Times New Roman" w:hAnsi="Times New Roman" w:cs="Times New Roman"/>
                                          <w:color w:val="FFFFFF" w:themeColor="background1"/>
                                          <w:sz w:val="24"/>
                                          <w:szCs w:val="24"/>
                                        </w:rPr>
                                        <w:t>aliam2@uci.edu</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A3EAC" w14:textId="77777777" w:rsidR="00F0470D" w:rsidRPr="001F5B24" w:rsidRDefault="00D330B3">
                                  <w:pPr>
                                    <w:pStyle w:val="NoSpacing"/>
                                    <w:jc w:val="center"/>
                                    <w:rPr>
                                      <w:rFonts w:ascii="Times New Roman" w:eastAsiaTheme="majorEastAsia" w:hAnsi="Times New Roman" w:cs="Times New Roman"/>
                                      <w:caps/>
                                      <w:color w:val="4472C4" w:themeColor="accent1"/>
                                      <w:sz w:val="72"/>
                                      <w:szCs w:val="72"/>
                                    </w:rPr>
                                  </w:pPr>
                                  <w:sdt>
                                    <w:sdtPr>
                                      <w:rPr>
                                        <w:rFonts w:ascii="Times New Roman" w:eastAsiaTheme="majorEastAsia" w:hAnsi="Times New Roman" w:cs="Times New Roman"/>
                                        <w:caps/>
                                        <w:color w:val="4472C4" w:themeColor="accent1"/>
                                        <w:sz w:val="72"/>
                                        <w:szCs w:val="72"/>
                                      </w:rPr>
                                      <w:alias w:val="Title"/>
                                      <w:id w:val="-9991715"/>
                                      <w:dataBinding w:prefixMappings="xmlns:ns0='http://purl.org/dc/elements/1.1/' xmlns:ns1='http://schemas.openxmlformats.org/package/2006/metadata/core-properties' " w:xpath="/ns1:coreProperties[1]/ns0:title[1]" w:storeItemID="{6C3C8BC8-F283-45AE-878A-BAB7291924A1}"/>
                                      <w:text/>
                                    </w:sdtPr>
                                    <w:sdtEndPr/>
                                    <w:sdtContent>
                                      <w:r w:rsidR="002933C2" w:rsidRPr="001F5B24">
                                        <w:rPr>
                                          <w:rFonts w:ascii="Times New Roman" w:eastAsiaTheme="majorEastAsia" w:hAnsi="Times New Roman" w:cs="Times New Roman"/>
                                          <w:caps/>
                                          <w:color w:val="4472C4" w:themeColor="accent1"/>
                                          <w:sz w:val="72"/>
                                          <w:szCs w:val="72"/>
                                        </w:rPr>
                                        <w:t>Solano County Pretrial risk assessment report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wps:bodyPr>
                          </wps:wsp>
                        </wpg:wgp>
                      </a:graphicData>
                    </a:graphic>
                    <wp14:sizeRelH relativeFrom="page">
                      <wp14:pctWidth>88200</wp14:pctWidth>
                    </wp14:sizeRelH>
                    <wp14:sizeRelV relativeFrom="page">
                      <wp14:pctHeight>90900</wp14:pctHeight>
                    </wp14:sizeRelV>
                  </wp:anchor>
                </w:drawing>
              </mc:Choice>
              <mc:Fallback>
                <w:pict>
                  <v:group w14:anchorId="55A60D8D" id="Group 193" o:spid="_x0000_s1026"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rFonts w:ascii="Times New Roman" w:hAnsi="Times New Roman" w:cs="Times New Roman"/>
                                <w:color w:val="FFFFFF" w:themeColor="background1"/>
                                <w:sz w:val="28"/>
                                <w:szCs w:val="28"/>
                              </w:rPr>
                              <w:alias w:val="Author"/>
                              <w:id w:val="945428907"/>
                              <w:dataBinding w:prefixMappings="xmlns:ns0='http://purl.org/dc/elements/1.1/' xmlns:ns1='http://schemas.openxmlformats.org/package/2006/metadata/core-properties' " w:xpath="/ns1:coreProperties[1]/ns0:creator[1]" w:storeItemID="{6C3C8BC8-F283-45AE-878A-BAB7291924A1}"/>
                              <w:text/>
                            </w:sdtPr>
                            <w:sdtEndPr/>
                            <w:sdtContent>
                              <w:p w14:paraId="7F40F7D9" w14:textId="77777777" w:rsidR="00F0470D" w:rsidRPr="001F5B24" w:rsidRDefault="00F17597">
                                <w:pPr>
                                  <w:pStyle w:val="NoSpacing"/>
                                  <w:spacing w:before="120"/>
                                  <w:jc w:val="center"/>
                                  <w:rPr>
                                    <w:rFonts w:ascii="Times New Roman" w:hAnsi="Times New Roman" w:cs="Times New Roman"/>
                                    <w:color w:val="FFFFFF" w:themeColor="background1"/>
                                    <w:sz w:val="28"/>
                                    <w:szCs w:val="28"/>
                                  </w:rPr>
                                </w:pPr>
                                <w:r w:rsidRPr="001F5B24">
                                  <w:rPr>
                                    <w:rFonts w:ascii="Times New Roman" w:hAnsi="Times New Roman" w:cs="Times New Roman"/>
                                    <w:color w:val="FFFFFF" w:themeColor="background1"/>
                                    <w:sz w:val="28"/>
                                    <w:szCs w:val="28"/>
                                  </w:rPr>
                                  <w:t>Amalia Mejia</w:t>
                                </w:r>
                              </w:p>
                            </w:sdtContent>
                          </w:sdt>
                          <w:p w14:paraId="7A7130F8" w14:textId="77777777" w:rsidR="00F0470D" w:rsidRPr="001F5B24" w:rsidRDefault="00D330B3">
                            <w:pPr>
                              <w:pStyle w:val="NoSpacing"/>
                              <w:spacing w:before="120"/>
                              <w:jc w:val="center"/>
                              <w:rPr>
                                <w:rFonts w:ascii="Times New Roman" w:hAnsi="Times New Roman" w:cs="Times New Roman"/>
                                <w:color w:val="FFFFFF" w:themeColor="background1"/>
                                <w:sz w:val="24"/>
                                <w:szCs w:val="24"/>
                              </w:rPr>
                            </w:pPr>
                            <w:sdt>
                              <w:sdtPr>
                                <w:rPr>
                                  <w:rFonts w:ascii="Times New Roman" w:hAnsi="Times New Roman" w:cs="Times New Roman"/>
                                  <w:caps/>
                                  <w:color w:val="FFFFFF" w:themeColor="background1"/>
                                  <w:sz w:val="24"/>
                                  <w:szCs w:val="24"/>
                                </w:rPr>
                                <w:alias w:val="Company"/>
                                <w:id w:val="1618182777"/>
                                <w:dataBinding w:prefixMappings="xmlns:ns0='http://schemas.openxmlformats.org/officeDocument/2006/extended-properties' " w:xpath="/ns0:Properties[1]/ns0:Company[1]" w:storeItemID="{6668398D-A668-4E3E-A5EB-62B293D839F1}"/>
                                <w:text/>
                              </w:sdtPr>
                              <w:sdtEndPr/>
                              <w:sdtContent>
                                <w:r w:rsidR="002933C2" w:rsidRPr="001F5B24">
                                  <w:rPr>
                                    <w:rFonts w:ascii="Times New Roman" w:hAnsi="Times New Roman" w:cs="Times New Roman"/>
                                    <w:caps/>
                                    <w:color w:val="FFFFFF" w:themeColor="background1"/>
                                    <w:sz w:val="24"/>
                                    <w:szCs w:val="24"/>
                                  </w:rPr>
                                  <w:t>June 2021</w:t>
                                </w:r>
                              </w:sdtContent>
                            </w:sdt>
                            <w:r w:rsidR="00F17597" w:rsidRPr="001F5B24">
                              <w:rPr>
                                <w:rFonts w:ascii="Times New Roman" w:hAnsi="Times New Roman" w:cs="Times New Roman"/>
                                <w:color w:val="FFFFFF" w:themeColor="background1"/>
                                <w:sz w:val="24"/>
                                <w:szCs w:val="24"/>
                              </w:rPr>
                              <w:t>  </w:t>
                            </w:r>
                            <w:sdt>
                              <w:sdtPr>
                                <w:rPr>
                                  <w:rFonts w:ascii="Times New Roman" w:hAnsi="Times New Roman" w:cs="Times New Roman"/>
                                  <w:color w:val="FFFFFF" w:themeColor="background1"/>
                                  <w:sz w:val="24"/>
                                  <w:szCs w:val="24"/>
                                </w:rPr>
                                <w:alias w:val="Address"/>
                                <w:id w:val="-253358678"/>
                                <w:dataBinding w:prefixMappings="xmlns:ns0='http://schemas.microsoft.com/office/2006/coverPageProps' " w:xpath="/ns0:CoverPageProperties[1]/ns0:CompanyAddress[1]" w:storeItemID="{55AF091B-3C7A-41E3-B477-F2FDAA23CFDA}"/>
                                <w:text/>
                              </w:sdtPr>
                              <w:sdtEndPr/>
                              <w:sdtContent>
                                <w:r w:rsidR="002933C2" w:rsidRPr="001F5B24">
                                  <w:rPr>
                                    <w:rFonts w:ascii="Times New Roman" w:hAnsi="Times New Roman" w:cs="Times New Roman"/>
                                    <w:color w:val="FFFFFF" w:themeColor="background1"/>
                                    <w:sz w:val="24"/>
                                    <w:szCs w:val="24"/>
                                  </w:rPr>
                                  <w:t>am</w:t>
                                </w:r>
                                <w:r w:rsidR="006C6A2A" w:rsidRPr="001F5B24">
                                  <w:rPr>
                                    <w:rFonts w:ascii="Times New Roman" w:hAnsi="Times New Roman" w:cs="Times New Roman"/>
                                    <w:color w:val="FFFFFF" w:themeColor="background1"/>
                                    <w:sz w:val="24"/>
                                    <w:szCs w:val="24"/>
                                  </w:rPr>
                                  <w:t>aliam2@uci.edu</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D7A3EAC" w14:textId="77777777" w:rsidR="00F0470D" w:rsidRPr="001F5B24" w:rsidRDefault="00D330B3">
                            <w:pPr>
                              <w:pStyle w:val="NoSpacing"/>
                              <w:jc w:val="center"/>
                              <w:rPr>
                                <w:rFonts w:ascii="Times New Roman" w:eastAsiaTheme="majorEastAsia" w:hAnsi="Times New Roman" w:cs="Times New Roman"/>
                                <w:caps/>
                                <w:color w:val="4472C4" w:themeColor="accent1"/>
                                <w:sz w:val="72"/>
                                <w:szCs w:val="72"/>
                              </w:rPr>
                            </w:pPr>
                            <w:sdt>
                              <w:sdtPr>
                                <w:rPr>
                                  <w:rFonts w:ascii="Times New Roman" w:eastAsiaTheme="majorEastAsia" w:hAnsi="Times New Roman" w:cs="Times New Roman"/>
                                  <w:caps/>
                                  <w:color w:val="4472C4" w:themeColor="accent1"/>
                                  <w:sz w:val="72"/>
                                  <w:szCs w:val="72"/>
                                </w:rPr>
                                <w:alias w:val="Title"/>
                                <w:id w:val="-9991715"/>
                                <w:dataBinding w:prefixMappings="xmlns:ns0='http://purl.org/dc/elements/1.1/' xmlns:ns1='http://schemas.openxmlformats.org/package/2006/metadata/core-properties' " w:xpath="/ns1:coreProperties[1]/ns0:title[1]" w:storeItemID="{6C3C8BC8-F283-45AE-878A-BAB7291924A1}"/>
                                <w:text/>
                              </w:sdtPr>
                              <w:sdtEndPr/>
                              <w:sdtContent>
                                <w:r w:rsidR="002933C2" w:rsidRPr="001F5B24">
                                  <w:rPr>
                                    <w:rFonts w:ascii="Times New Roman" w:eastAsiaTheme="majorEastAsia" w:hAnsi="Times New Roman" w:cs="Times New Roman"/>
                                    <w:caps/>
                                    <w:color w:val="4472C4" w:themeColor="accent1"/>
                                    <w:sz w:val="72"/>
                                    <w:szCs w:val="72"/>
                                  </w:rPr>
                                  <w:t>Solano County Pretrial risk assessment report</w:t>
                                </w:r>
                              </w:sdtContent>
                            </w:sdt>
                          </w:p>
                        </w:txbxContent>
                      </v:textbox>
                    </v:shape>
                    <w10:wrap anchorx="page" anchory="page"/>
                  </v:group>
                </w:pict>
              </mc:Fallback>
            </mc:AlternateContent>
          </w:r>
        </w:p>
        <w:p w14:paraId="77CFA18A" w14:textId="1348C3C4" w:rsidR="00F0470D" w:rsidRPr="001F5B24" w:rsidRDefault="00F17597">
          <w:pPr>
            <w:rPr>
              <w:rFonts w:ascii="Times New Roman" w:hAnsi="Times New Roman" w:cs="Times New Roman"/>
              <w:sz w:val="24"/>
              <w:szCs w:val="24"/>
            </w:rPr>
          </w:pPr>
          <w:r w:rsidRPr="001F5B24">
            <w:rPr>
              <w:rFonts w:ascii="Times New Roman" w:hAnsi="Times New Roman" w:cs="Times New Roman"/>
              <w:sz w:val="24"/>
              <w:szCs w:val="24"/>
            </w:rPr>
            <w:br w:type="page"/>
          </w:r>
        </w:p>
      </w:sdtContent>
    </w:sdt>
    <w:sdt>
      <w:sdtPr>
        <w:rPr>
          <w:rFonts w:ascii="Times New Roman" w:eastAsiaTheme="majorEastAsia" w:hAnsi="Times New Roman" w:cs="Times New Roman"/>
          <w:color w:val="2F5496" w:themeColor="accent1" w:themeShade="BF"/>
          <w:sz w:val="32"/>
          <w:szCs w:val="32"/>
        </w:rPr>
        <w:id w:val="-385647448"/>
        <w:docPartObj>
          <w:docPartGallery w:val="Table of Contents"/>
          <w:docPartUnique/>
        </w:docPartObj>
      </w:sdtPr>
      <w:sdtEndPr>
        <w:rPr>
          <w:rFonts w:eastAsiaTheme="minorHAnsi"/>
          <w:color w:val="auto"/>
          <w:sz w:val="22"/>
          <w:szCs w:val="22"/>
        </w:rPr>
      </w:sdtEndPr>
      <w:sdtContent>
        <w:p w14:paraId="1003DD6D" w14:textId="77777777" w:rsidR="00491103" w:rsidRPr="001F5B24" w:rsidRDefault="00491103" w:rsidP="00491103">
          <w:pPr>
            <w:spacing w:after="200"/>
            <w:rPr>
              <w:rFonts w:ascii="Times New Roman" w:eastAsia="MS Mincho" w:hAnsi="Times New Roman" w:cs="Times New Roman"/>
              <w:b/>
              <w:color w:val="082A75"/>
              <w:sz w:val="28"/>
            </w:rPr>
          </w:pPr>
        </w:p>
        <w:sdt>
          <w:sdtPr>
            <w:rPr>
              <w:rFonts w:ascii="Times New Roman" w:eastAsia="MS Mincho" w:hAnsi="Times New Roman" w:cs="Times New Roman"/>
              <w:b/>
              <w:color w:val="082A75"/>
              <w:sz w:val="28"/>
              <w:szCs w:val="32"/>
            </w:rPr>
            <w:id w:val="1382363777"/>
            <w:docPartObj>
              <w:docPartGallery w:val="Table of Contents"/>
              <w:docPartUnique/>
            </w:docPartObj>
          </w:sdtPr>
          <w:sdtEndPr>
            <w:rPr>
              <w:szCs w:val="22"/>
            </w:rPr>
          </w:sdtEndPr>
          <w:sdtContent>
            <w:p w14:paraId="7F52640D" w14:textId="675D1297" w:rsidR="00491103" w:rsidRPr="001F5B24" w:rsidRDefault="00E65A98" w:rsidP="00491103">
              <w:pPr>
                <w:keepNext/>
                <w:keepLines/>
                <w:spacing w:before="240" w:after="0"/>
                <w:rPr>
                  <w:rFonts w:ascii="Times New Roman" w:eastAsia="MS Gothic" w:hAnsi="Times New Roman" w:cs="Times New Roman"/>
                  <w:color w:val="013A57"/>
                  <w:sz w:val="32"/>
                  <w:szCs w:val="32"/>
                </w:rPr>
              </w:pPr>
              <w:r>
                <w:rPr>
                  <w:rFonts w:ascii="Times New Roman" w:eastAsia="MS Gothic" w:hAnsi="Times New Roman" w:cs="Times New Roman"/>
                  <w:color w:val="013A57"/>
                  <w:sz w:val="32"/>
                  <w:szCs w:val="32"/>
                </w:rPr>
                <w:t>Table</w:t>
              </w:r>
              <w:r w:rsidR="00F17597" w:rsidRPr="001F5B24">
                <w:rPr>
                  <w:rFonts w:ascii="Times New Roman" w:eastAsia="MS Gothic" w:hAnsi="Times New Roman" w:cs="Times New Roman"/>
                  <w:color w:val="013A57"/>
                  <w:sz w:val="32"/>
                  <w:szCs w:val="32"/>
                </w:rPr>
                <w:t xml:space="preserve"> of Contents</w:t>
              </w:r>
            </w:p>
            <w:p w14:paraId="113F4AB4" w14:textId="77777777" w:rsidR="00491103" w:rsidRPr="001F5B24" w:rsidRDefault="00F17597" w:rsidP="00491103">
              <w:pPr>
                <w:spacing w:after="100" w:line="276" w:lineRule="auto"/>
                <w:ind w:left="216"/>
                <w:rPr>
                  <w:rFonts w:ascii="Times New Roman" w:eastAsia="MS Mincho" w:hAnsi="Times New Roman" w:cs="Times New Roman"/>
                  <w:b/>
                  <w:color w:val="082A75"/>
                  <w:sz w:val="28"/>
                </w:rPr>
              </w:pPr>
              <w:r w:rsidRPr="001F5B24">
                <w:rPr>
                  <w:rFonts w:ascii="Times New Roman" w:eastAsia="MS Mincho" w:hAnsi="Times New Roman" w:cs="Times New Roman"/>
                  <w:b/>
                  <w:color w:val="082A75"/>
                  <w:sz w:val="28"/>
                </w:rPr>
                <w:t xml:space="preserve">Introduction </w:t>
              </w:r>
              <w:r w:rsidRPr="001F5B24">
                <w:rPr>
                  <w:rFonts w:ascii="Times New Roman" w:hAnsi="Times New Roman" w:cs="Times New Roman"/>
                </w:rPr>
                <w:ptab w:relativeTo="margin" w:alignment="right" w:leader="dot"/>
              </w:r>
              <w:r w:rsidRPr="001F5B24">
                <w:rPr>
                  <w:rFonts w:ascii="Times New Roman" w:eastAsia="MS Mincho" w:hAnsi="Times New Roman" w:cs="Times New Roman"/>
                  <w:b/>
                  <w:color w:val="082A75"/>
                  <w:sz w:val="28"/>
                </w:rPr>
                <w:t>2</w:t>
              </w:r>
            </w:p>
            <w:p w14:paraId="5BCD91AA" w14:textId="54CE3C64" w:rsidR="00C44D80" w:rsidRDefault="00C44D80"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 xml:space="preserve">Data </w:t>
              </w:r>
              <w:r w:rsidRPr="001F5B24">
                <w:rPr>
                  <w:rFonts w:ascii="Times New Roman" w:hAnsi="Times New Roman" w:cs="Times New Roman"/>
                </w:rPr>
                <w:ptab w:relativeTo="margin" w:alignment="right" w:leader="dot"/>
              </w:r>
              <w:r>
                <w:rPr>
                  <w:rFonts w:ascii="Times New Roman" w:eastAsia="MS Mincho" w:hAnsi="Times New Roman" w:cs="Times New Roman"/>
                </w:rPr>
                <w:t>2</w:t>
              </w:r>
            </w:p>
            <w:p w14:paraId="0864D588" w14:textId="77777777" w:rsidR="00E4363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ORAS Factors and Weights</w:t>
              </w:r>
              <w:r w:rsidRPr="001F5B24">
                <w:rPr>
                  <w:rFonts w:ascii="Times New Roman" w:hAnsi="Times New Roman" w:cs="Times New Roman"/>
                </w:rPr>
                <w:ptab w:relativeTo="margin" w:alignment="right" w:leader="dot"/>
              </w:r>
              <w:r w:rsidR="000E374C" w:rsidRPr="001F5B24">
                <w:rPr>
                  <w:rFonts w:ascii="Times New Roman" w:eastAsia="MS Mincho" w:hAnsi="Times New Roman" w:cs="Times New Roman"/>
                </w:rPr>
                <w:t>3</w:t>
              </w:r>
            </w:p>
            <w:p w14:paraId="0E84363D" w14:textId="403829A3" w:rsidR="00E43634" w:rsidRPr="001F5B24" w:rsidRDefault="00E43634" w:rsidP="00491103">
              <w:pPr>
                <w:spacing w:after="100"/>
                <w:ind w:left="446"/>
                <w:rPr>
                  <w:rFonts w:ascii="Times New Roman" w:eastAsia="MS Mincho" w:hAnsi="Times New Roman" w:cs="Times New Roman"/>
                </w:rPr>
              </w:pPr>
              <w:r>
                <w:rPr>
                  <w:rFonts w:ascii="Times New Roman" w:eastAsia="MS Mincho" w:hAnsi="Times New Roman" w:cs="Times New Roman"/>
                </w:rPr>
                <w:t>Definitions by SB 36</w:t>
              </w:r>
              <w:r w:rsidRPr="001F5B24">
                <w:rPr>
                  <w:rFonts w:ascii="Times New Roman" w:hAnsi="Times New Roman" w:cs="Times New Roman"/>
                </w:rPr>
                <w:ptab w:relativeTo="margin" w:alignment="right" w:leader="dot"/>
              </w:r>
              <w:r>
                <w:rPr>
                  <w:rFonts w:ascii="Times New Roman" w:eastAsia="MS Mincho" w:hAnsi="Times New Roman" w:cs="Times New Roman"/>
                </w:rPr>
                <w:t>4</w:t>
              </w:r>
            </w:p>
            <w:p w14:paraId="36214FE9" w14:textId="22EBDF28" w:rsidR="00491103" w:rsidRDefault="00233E47" w:rsidP="00491103">
              <w:pPr>
                <w:spacing w:after="100" w:line="276" w:lineRule="auto"/>
                <w:ind w:left="216"/>
                <w:rPr>
                  <w:rFonts w:ascii="Times New Roman" w:eastAsia="MS Mincho" w:hAnsi="Times New Roman" w:cs="Times New Roman"/>
                  <w:b/>
                  <w:color w:val="082A75"/>
                  <w:sz w:val="28"/>
                </w:rPr>
              </w:pPr>
              <w:r>
                <w:rPr>
                  <w:rFonts w:ascii="Times New Roman" w:eastAsia="MS Mincho" w:hAnsi="Times New Roman" w:cs="Times New Roman"/>
                  <w:b/>
                  <w:color w:val="082A75"/>
                  <w:sz w:val="28"/>
                </w:rPr>
                <w:t>Part I</w:t>
              </w:r>
              <w:r w:rsidR="005F03AE">
                <w:rPr>
                  <w:rFonts w:ascii="Times New Roman" w:eastAsia="MS Mincho" w:hAnsi="Times New Roman" w:cs="Times New Roman"/>
                  <w:b/>
                  <w:color w:val="082A75"/>
                  <w:sz w:val="28"/>
                </w:rPr>
                <w:t xml:space="preserve"> Pretrial D</w:t>
              </w:r>
              <w:r w:rsidR="00162F09">
                <w:rPr>
                  <w:rFonts w:ascii="Times New Roman" w:eastAsia="MS Mincho" w:hAnsi="Times New Roman" w:cs="Times New Roman"/>
                  <w:b/>
                  <w:color w:val="082A75"/>
                  <w:sz w:val="28"/>
                </w:rPr>
                <w:t>emographics</w:t>
              </w:r>
              <w:r w:rsidR="00F17597" w:rsidRPr="001F5B24">
                <w:rPr>
                  <w:rFonts w:ascii="Times New Roman" w:hAnsi="Times New Roman" w:cs="Times New Roman"/>
                </w:rPr>
                <w:ptab w:relativeTo="margin" w:alignment="right" w:leader="dot"/>
              </w:r>
              <w:r w:rsidR="007A095B">
                <w:rPr>
                  <w:rFonts w:ascii="Times New Roman" w:eastAsia="MS Mincho" w:hAnsi="Times New Roman" w:cs="Times New Roman"/>
                  <w:b/>
                  <w:color w:val="082A75"/>
                  <w:sz w:val="28"/>
                </w:rPr>
                <w:t>5</w:t>
              </w:r>
            </w:p>
            <w:p w14:paraId="7532362B" w14:textId="18D95FC9" w:rsidR="00162F09" w:rsidRPr="001F5B24" w:rsidRDefault="00162F09" w:rsidP="00162F09">
              <w:pPr>
                <w:spacing w:after="100"/>
                <w:ind w:left="446"/>
                <w:rPr>
                  <w:rFonts w:ascii="Times New Roman" w:eastAsia="MS Mincho" w:hAnsi="Times New Roman" w:cs="Times New Roman"/>
                </w:rPr>
              </w:pPr>
              <w:r>
                <w:rPr>
                  <w:rFonts w:ascii="Times New Roman" w:eastAsia="MS Mincho" w:hAnsi="Times New Roman" w:cs="Times New Roman"/>
                </w:rPr>
                <w:t>Outcomes for 2019 data</w:t>
              </w:r>
              <w:r w:rsidRPr="001F5B24">
                <w:rPr>
                  <w:rFonts w:ascii="Times New Roman" w:hAnsi="Times New Roman" w:cs="Times New Roman"/>
                </w:rPr>
                <w:ptab w:relativeTo="margin" w:alignment="right" w:leader="dot"/>
              </w:r>
              <w:r w:rsidR="00DD4CB6">
                <w:rPr>
                  <w:rFonts w:ascii="Times New Roman" w:eastAsia="MS Mincho" w:hAnsi="Times New Roman" w:cs="Times New Roman"/>
                </w:rPr>
                <w:t>6</w:t>
              </w:r>
            </w:p>
            <w:p w14:paraId="18EC5A2A" w14:textId="6347F98F"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 xml:space="preserve">The number of assessed individuals by age, gender, race, or ethnicity </w:t>
              </w:r>
              <w:r w:rsidRPr="001F5B24">
                <w:rPr>
                  <w:rFonts w:ascii="Times New Roman" w:hAnsi="Times New Roman" w:cs="Times New Roman"/>
                </w:rPr>
                <w:ptab w:relativeTo="margin" w:alignment="right" w:leader="dot"/>
              </w:r>
              <w:r w:rsidR="00DD4CB6">
                <w:rPr>
                  <w:rFonts w:ascii="Times New Roman" w:eastAsia="MS Mincho" w:hAnsi="Times New Roman" w:cs="Times New Roman"/>
                </w:rPr>
                <w:t>6</w:t>
              </w:r>
            </w:p>
            <w:p w14:paraId="3E4BBBE6" w14:textId="6F5D0B0E"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The number of assessed individuals by risk level, booking charge levels, and release decision</w:t>
              </w:r>
              <w:r w:rsidRPr="001F5B24">
                <w:rPr>
                  <w:rFonts w:ascii="Times New Roman" w:hAnsi="Times New Roman" w:cs="Times New Roman"/>
                </w:rPr>
                <w:ptab w:relativeTo="margin" w:alignment="right" w:leader="dot"/>
              </w:r>
              <w:r w:rsidR="00DD4CB6">
                <w:rPr>
                  <w:rFonts w:ascii="Times New Roman" w:eastAsia="MS Mincho" w:hAnsi="Times New Roman" w:cs="Times New Roman"/>
                </w:rPr>
                <w:t>7</w:t>
              </w:r>
            </w:p>
            <w:p w14:paraId="7A743AB2" w14:textId="03C1999E"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The number and percentage of assessed individuals who receive pretrial supervision by the level of supervision</w:t>
              </w:r>
              <w:r w:rsidRPr="001F5B24">
                <w:rPr>
                  <w:rFonts w:ascii="Times New Roman" w:hAnsi="Times New Roman" w:cs="Times New Roman"/>
                </w:rPr>
                <w:ptab w:relativeTo="margin" w:alignment="right" w:leader="dot"/>
              </w:r>
              <w:r w:rsidR="003D49C1">
                <w:rPr>
                  <w:rFonts w:ascii="Times New Roman" w:eastAsia="MS Mincho" w:hAnsi="Times New Roman" w:cs="Times New Roman"/>
                </w:rPr>
                <w:t>8</w:t>
              </w:r>
            </w:p>
            <w:p w14:paraId="1262D8D0" w14:textId="288BB060" w:rsidR="00AF1652"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The number and percentage of assessed individuals by supervision level who fail to appear in court as required, are arrested for a new offense during the pretrial period, or have pretrial release revoked</w:t>
              </w:r>
              <w:r w:rsidRPr="001F5B24">
                <w:rPr>
                  <w:rFonts w:ascii="Times New Roman" w:hAnsi="Times New Roman" w:cs="Times New Roman"/>
                </w:rPr>
                <w:ptab w:relativeTo="margin" w:alignment="right" w:leader="dot"/>
              </w:r>
              <w:r w:rsidR="000F6A12">
                <w:rPr>
                  <w:rFonts w:ascii="Times New Roman" w:eastAsia="MS Mincho" w:hAnsi="Times New Roman" w:cs="Times New Roman"/>
                </w:rPr>
                <w:t>9</w:t>
              </w:r>
            </w:p>
            <w:p w14:paraId="12C9E90D" w14:textId="65E9008E" w:rsidR="00655A63" w:rsidRPr="001F5B24" w:rsidRDefault="00655A63" w:rsidP="00491103">
              <w:pPr>
                <w:spacing w:after="100"/>
                <w:ind w:left="446"/>
                <w:rPr>
                  <w:rFonts w:ascii="Times New Roman" w:eastAsia="MS Mincho" w:hAnsi="Times New Roman" w:cs="Times New Roman"/>
                </w:rPr>
              </w:pPr>
              <w:r>
                <w:rPr>
                  <w:rFonts w:ascii="Times New Roman" w:eastAsia="MS Mincho" w:hAnsi="Times New Roman" w:cs="Times New Roman"/>
                </w:rPr>
                <w:t xml:space="preserve">Zip code prevalence </w:t>
              </w:r>
              <w:r w:rsidRPr="001F5B24">
                <w:rPr>
                  <w:rFonts w:ascii="Times New Roman" w:hAnsi="Times New Roman" w:cs="Times New Roman"/>
                </w:rPr>
                <w:ptab w:relativeTo="margin" w:alignment="right" w:leader="dot"/>
              </w:r>
              <w:r w:rsidR="003D49C1">
                <w:rPr>
                  <w:rFonts w:ascii="Times New Roman" w:eastAsia="MS Mincho" w:hAnsi="Times New Roman" w:cs="Times New Roman"/>
                </w:rPr>
                <w:t>9</w:t>
              </w:r>
            </w:p>
            <w:p w14:paraId="16193DA3" w14:textId="1DF96312" w:rsidR="00491103" w:rsidRPr="00162F09" w:rsidRDefault="00162F09" w:rsidP="00491103">
              <w:pPr>
                <w:spacing w:after="100" w:line="276" w:lineRule="auto"/>
                <w:ind w:left="216"/>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F17597" w:rsidRPr="00162F09">
                <w:rPr>
                  <w:rFonts w:ascii="Times New Roman" w:eastAsia="MS Mincho" w:hAnsi="Times New Roman" w:cs="Times New Roman"/>
                  <w:bCs/>
                  <w:sz w:val="24"/>
                  <w:szCs w:val="24"/>
                </w:rPr>
                <w:t>Outcomes for 2020 data</w:t>
              </w:r>
              <w:r w:rsidR="00F17597" w:rsidRPr="00162F09">
                <w:rPr>
                  <w:rFonts w:ascii="Times New Roman" w:hAnsi="Times New Roman" w:cs="Times New Roman"/>
                  <w:bCs/>
                  <w:sz w:val="24"/>
                  <w:szCs w:val="24"/>
                </w:rPr>
                <w:ptab w:relativeTo="margin" w:alignment="right" w:leader="dot"/>
              </w:r>
              <w:r w:rsidR="00A36A5B">
                <w:rPr>
                  <w:rFonts w:ascii="Times New Roman" w:eastAsia="MS Mincho" w:hAnsi="Times New Roman" w:cs="Times New Roman"/>
                  <w:bCs/>
                  <w:sz w:val="24"/>
                  <w:szCs w:val="24"/>
                </w:rPr>
                <w:t>10</w:t>
              </w:r>
            </w:p>
            <w:p w14:paraId="615E55E7" w14:textId="56A1AD59"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 xml:space="preserve">The number of assesses individuals by age, gender, race or ethnicity </w:t>
              </w:r>
              <w:r w:rsidRPr="001F5B24">
                <w:rPr>
                  <w:rFonts w:ascii="Times New Roman" w:hAnsi="Times New Roman" w:cs="Times New Roman"/>
                </w:rPr>
                <w:ptab w:relativeTo="margin" w:alignment="right" w:leader="dot"/>
              </w:r>
              <w:r w:rsidR="00A36A5B">
                <w:rPr>
                  <w:rFonts w:ascii="Times New Roman" w:eastAsia="MS Mincho" w:hAnsi="Times New Roman" w:cs="Times New Roman"/>
                </w:rPr>
                <w:t>1</w:t>
              </w:r>
              <w:r w:rsidR="00F42D9E">
                <w:rPr>
                  <w:rFonts w:ascii="Times New Roman" w:eastAsia="MS Mincho" w:hAnsi="Times New Roman" w:cs="Times New Roman"/>
                </w:rPr>
                <w:t>0</w:t>
              </w:r>
            </w:p>
            <w:p w14:paraId="7B1267E4" w14:textId="3CA0D4C6"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The number of assesses individuals by risk level, booking charge levels, and release decision</w:t>
              </w:r>
              <w:r w:rsidRPr="001F5B24">
                <w:rPr>
                  <w:rFonts w:ascii="Times New Roman" w:hAnsi="Times New Roman" w:cs="Times New Roman"/>
                </w:rPr>
                <w:ptab w:relativeTo="margin" w:alignment="right" w:leader="dot"/>
              </w:r>
              <w:r w:rsidR="00F03EF8" w:rsidRPr="001F5B24">
                <w:rPr>
                  <w:rFonts w:ascii="Times New Roman" w:eastAsia="MS Mincho" w:hAnsi="Times New Roman" w:cs="Times New Roman"/>
                </w:rPr>
                <w:t>1</w:t>
              </w:r>
              <w:r w:rsidR="00A36A5B">
                <w:rPr>
                  <w:rFonts w:ascii="Times New Roman" w:eastAsia="MS Mincho" w:hAnsi="Times New Roman" w:cs="Times New Roman"/>
                </w:rPr>
                <w:t>1</w:t>
              </w:r>
            </w:p>
            <w:p w14:paraId="0C288207" w14:textId="1A7B7D22" w:rsidR="00491103" w:rsidRPr="001F5B24" w:rsidRDefault="00F17597" w:rsidP="00491103">
              <w:pPr>
                <w:spacing w:after="100"/>
                <w:ind w:left="446"/>
                <w:rPr>
                  <w:rFonts w:ascii="Times New Roman" w:eastAsia="MS Mincho" w:hAnsi="Times New Roman" w:cs="Times New Roman"/>
                </w:rPr>
              </w:pPr>
              <w:r w:rsidRPr="001F5B24">
                <w:rPr>
                  <w:rFonts w:ascii="Times New Roman" w:eastAsia="MS Mincho" w:hAnsi="Times New Roman" w:cs="Times New Roman"/>
                </w:rPr>
                <w:t>The number and percentage of assessed individuals who receive pretrial supervision by the level of supervision</w:t>
              </w:r>
              <w:r w:rsidRPr="001F5B24">
                <w:rPr>
                  <w:rFonts w:ascii="Times New Roman" w:hAnsi="Times New Roman" w:cs="Times New Roman"/>
                </w:rPr>
                <w:ptab w:relativeTo="margin" w:alignment="right" w:leader="dot"/>
              </w:r>
              <w:r w:rsidR="00F03EF8" w:rsidRPr="001F5B24">
                <w:rPr>
                  <w:rFonts w:ascii="Times New Roman" w:eastAsia="MS Mincho" w:hAnsi="Times New Roman" w:cs="Times New Roman"/>
                </w:rPr>
                <w:t>1</w:t>
              </w:r>
              <w:r w:rsidR="00A36A5B">
                <w:rPr>
                  <w:rFonts w:ascii="Times New Roman" w:eastAsia="MS Mincho" w:hAnsi="Times New Roman" w:cs="Times New Roman"/>
                </w:rPr>
                <w:t>2</w:t>
              </w:r>
            </w:p>
            <w:p w14:paraId="5DFBEA6E" w14:textId="4C9FC04D" w:rsidR="00655A63" w:rsidRDefault="00F17597" w:rsidP="00D12141">
              <w:pPr>
                <w:spacing w:after="100"/>
                <w:ind w:left="446"/>
                <w:rPr>
                  <w:rFonts w:ascii="Times New Roman" w:eastAsia="MS Mincho" w:hAnsi="Times New Roman" w:cs="Times New Roman"/>
                </w:rPr>
              </w:pPr>
              <w:r w:rsidRPr="001F5B24">
                <w:rPr>
                  <w:rFonts w:ascii="Times New Roman" w:eastAsia="MS Mincho" w:hAnsi="Times New Roman" w:cs="Times New Roman"/>
                </w:rPr>
                <w:t>The number and percentage of assessed individuals by supervision level who fail to appear in court as required, are arrested for a new offense during the pretrial period, or have pretrial release revoked</w:t>
              </w:r>
              <w:r w:rsidRPr="001F5B24">
                <w:rPr>
                  <w:rFonts w:ascii="Times New Roman" w:hAnsi="Times New Roman" w:cs="Times New Roman"/>
                </w:rPr>
                <w:ptab w:relativeTo="margin" w:alignment="right" w:leader="dot"/>
              </w:r>
              <w:r w:rsidR="00F03EF8" w:rsidRPr="001F5B24">
                <w:rPr>
                  <w:rFonts w:ascii="Times New Roman" w:eastAsia="MS Mincho" w:hAnsi="Times New Roman" w:cs="Times New Roman"/>
                </w:rPr>
                <w:t>1</w:t>
              </w:r>
              <w:r w:rsidR="00F42D9E">
                <w:rPr>
                  <w:rFonts w:ascii="Times New Roman" w:eastAsia="MS Mincho" w:hAnsi="Times New Roman" w:cs="Times New Roman"/>
                </w:rPr>
                <w:t>3</w:t>
              </w:r>
            </w:p>
            <w:p w14:paraId="245D64B1" w14:textId="089D6915" w:rsidR="00655A63" w:rsidRDefault="00655A63" w:rsidP="00655A63">
              <w:pPr>
                <w:spacing w:after="100"/>
                <w:ind w:left="446"/>
                <w:rPr>
                  <w:rFonts w:ascii="Times New Roman" w:eastAsia="MS Mincho" w:hAnsi="Times New Roman" w:cs="Times New Roman"/>
                </w:rPr>
              </w:pPr>
              <w:r>
                <w:rPr>
                  <w:rFonts w:ascii="Times New Roman" w:eastAsia="MS Mincho" w:hAnsi="Times New Roman" w:cs="Times New Roman"/>
                </w:rPr>
                <w:t xml:space="preserve">Zip code prevalence </w:t>
              </w:r>
              <w:r w:rsidRPr="001F5B24">
                <w:rPr>
                  <w:rFonts w:ascii="Times New Roman" w:hAnsi="Times New Roman" w:cs="Times New Roman"/>
                </w:rPr>
                <w:ptab w:relativeTo="margin" w:alignment="right" w:leader="dot"/>
              </w:r>
              <w:r w:rsidR="00B61255">
                <w:rPr>
                  <w:rFonts w:ascii="Times New Roman" w:eastAsia="MS Mincho" w:hAnsi="Times New Roman" w:cs="Times New Roman"/>
                </w:rPr>
                <w:t>1</w:t>
              </w:r>
              <w:r w:rsidR="00A36A5B">
                <w:rPr>
                  <w:rFonts w:ascii="Times New Roman" w:eastAsia="MS Mincho" w:hAnsi="Times New Roman" w:cs="Times New Roman"/>
                </w:rPr>
                <w:t>3</w:t>
              </w:r>
            </w:p>
            <w:p w14:paraId="05E7A0FF" w14:textId="112CEE84" w:rsidR="002069C1" w:rsidRDefault="002069C1" w:rsidP="002069C1">
              <w:pPr>
                <w:spacing w:after="100" w:line="276" w:lineRule="auto"/>
                <w:ind w:left="216"/>
                <w:rPr>
                  <w:rFonts w:ascii="Times New Roman" w:eastAsia="MS Mincho" w:hAnsi="Times New Roman" w:cs="Times New Roman"/>
                  <w:b/>
                  <w:color w:val="082A75"/>
                  <w:sz w:val="28"/>
                </w:rPr>
              </w:pPr>
              <w:r>
                <w:rPr>
                  <w:rFonts w:ascii="Times New Roman" w:eastAsia="MS Mincho" w:hAnsi="Times New Roman" w:cs="Times New Roman"/>
                  <w:b/>
                  <w:color w:val="082A75"/>
                  <w:sz w:val="28"/>
                </w:rPr>
                <w:t>Part II Tool Validation</w:t>
              </w:r>
              <w:r w:rsidRPr="001F5B24">
                <w:rPr>
                  <w:rFonts w:ascii="Times New Roman" w:hAnsi="Times New Roman" w:cs="Times New Roman"/>
                </w:rPr>
                <w:ptab w:relativeTo="margin" w:alignment="right" w:leader="dot"/>
              </w:r>
              <w:r w:rsidR="00382914">
                <w:rPr>
                  <w:rFonts w:ascii="Times New Roman" w:eastAsia="MS Mincho" w:hAnsi="Times New Roman" w:cs="Times New Roman"/>
                  <w:b/>
                  <w:color w:val="082A75"/>
                  <w:sz w:val="28"/>
                </w:rPr>
                <w:t>14</w:t>
              </w:r>
            </w:p>
            <w:p w14:paraId="75928453" w14:textId="4819099B" w:rsidR="00CC4666" w:rsidRDefault="00CC4666" w:rsidP="00CC4666">
              <w:pPr>
                <w:spacing w:after="100"/>
                <w:ind w:left="446"/>
                <w:rPr>
                  <w:rFonts w:ascii="Times New Roman" w:eastAsia="MS Mincho" w:hAnsi="Times New Roman" w:cs="Times New Roman"/>
                </w:rPr>
              </w:pPr>
              <w:r w:rsidRPr="001F5B24">
                <w:rPr>
                  <w:rFonts w:ascii="Times New Roman" w:eastAsia="MS Mincho" w:hAnsi="Times New Roman" w:cs="Times New Roman"/>
                </w:rPr>
                <w:t xml:space="preserve">Data </w:t>
              </w:r>
              <w:r w:rsidRPr="001F5B24">
                <w:rPr>
                  <w:rFonts w:ascii="Times New Roman" w:hAnsi="Times New Roman" w:cs="Times New Roman"/>
                </w:rPr>
                <w:ptab w:relativeTo="margin" w:alignment="right" w:leader="dot"/>
              </w:r>
              <w:r w:rsidR="00E969C2">
                <w:rPr>
                  <w:rFonts w:ascii="Times New Roman" w:eastAsia="MS Mincho" w:hAnsi="Times New Roman" w:cs="Times New Roman"/>
                </w:rPr>
                <w:t>15</w:t>
              </w:r>
            </w:p>
            <w:p w14:paraId="10EB56B9" w14:textId="1324FFD1" w:rsidR="00CC4666" w:rsidRPr="001F5B24" w:rsidRDefault="00CC4666" w:rsidP="00CC4666">
              <w:pPr>
                <w:spacing w:after="100"/>
                <w:ind w:left="446"/>
                <w:rPr>
                  <w:rFonts w:ascii="Times New Roman" w:eastAsia="MS Mincho" w:hAnsi="Times New Roman" w:cs="Times New Roman"/>
                </w:rPr>
              </w:pPr>
              <w:r>
                <w:rPr>
                  <w:rFonts w:ascii="Times New Roman" w:eastAsia="MS Mincho" w:hAnsi="Times New Roman" w:cs="Times New Roman"/>
                </w:rPr>
                <w:t>Methods</w:t>
              </w:r>
              <w:r w:rsidRPr="001F5B24">
                <w:rPr>
                  <w:rFonts w:ascii="Times New Roman" w:eastAsia="MS Mincho" w:hAnsi="Times New Roman" w:cs="Times New Roman"/>
                </w:rPr>
                <w:t xml:space="preserve"> </w:t>
              </w:r>
              <w:r w:rsidRPr="001F5B24">
                <w:rPr>
                  <w:rFonts w:ascii="Times New Roman" w:hAnsi="Times New Roman" w:cs="Times New Roman"/>
                </w:rPr>
                <w:ptab w:relativeTo="margin" w:alignment="right" w:leader="dot"/>
              </w:r>
              <w:r w:rsidR="00E969C2">
                <w:rPr>
                  <w:rFonts w:ascii="Times New Roman" w:eastAsia="MS Mincho" w:hAnsi="Times New Roman" w:cs="Times New Roman"/>
                </w:rPr>
                <w:t>1</w:t>
              </w:r>
              <w:r w:rsidR="00467B69">
                <w:rPr>
                  <w:rFonts w:ascii="Times New Roman" w:eastAsia="MS Mincho" w:hAnsi="Times New Roman" w:cs="Times New Roman"/>
                </w:rPr>
                <w:t>6</w:t>
              </w:r>
            </w:p>
            <w:p w14:paraId="29AEC148" w14:textId="350ABEE0" w:rsidR="00582211" w:rsidRDefault="00582211" w:rsidP="00582211">
              <w:pPr>
                <w:spacing w:after="100"/>
                <w:ind w:left="446"/>
                <w:rPr>
                  <w:rFonts w:ascii="Times New Roman" w:eastAsia="MS Mincho" w:hAnsi="Times New Roman" w:cs="Times New Roman"/>
                </w:rPr>
              </w:pPr>
              <w:r>
                <w:rPr>
                  <w:rFonts w:ascii="Times New Roman" w:eastAsia="MS Mincho" w:hAnsi="Times New Roman" w:cs="Times New Roman"/>
                </w:rPr>
                <w:t>2019 Analysis</w:t>
              </w:r>
              <w:r w:rsidRPr="001F5B24">
                <w:rPr>
                  <w:rFonts w:ascii="Times New Roman" w:eastAsia="MS Mincho" w:hAnsi="Times New Roman" w:cs="Times New Roman"/>
                </w:rPr>
                <w:t xml:space="preserve"> </w:t>
              </w:r>
              <w:r w:rsidRPr="001F5B24">
                <w:rPr>
                  <w:rFonts w:ascii="Times New Roman" w:hAnsi="Times New Roman" w:cs="Times New Roman"/>
                </w:rPr>
                <w:ptab w:relativeTo="margin" w:alignment="right" w:leader="dot"/>
              </w:r>
              <w:r w:rsidR="00E969C2">
                <w:rPr>
                  <w:rFonts w:ascii="Times New Roman" w:eastAsia="MS Mincho" w:hAnsi="Times New Roman" w:cs="Times New Roman"/>
                </w:rPr>
                <w:t>16</w:t>
              </w:r>
            </w:p>
            <w:p w14:paraId="3039A6FF" w14:textId="65CD4020" w:rsidR="00582211" w:rsidRDefault="00582211" w:rsidP="00582211">
              <w:pPr>
                <w:spacing w:after="100"/>
                <w:ind w:left="446"/>
                <w:rPr>
                  <w:rFonts w:ascii="Times New Roman" w:eastAsia="MS Mincho" w:hAnsi="Times New Roman" w:cs="Times New Roman"/>
                </w:rPr>
              </w:pPr>
              <w:r>
                <w:rPr>
                  <w:rFonts w:ascii="Times New Roman" w:eastAsia="MS Mincho" w:hAnsi="Times New Roman" w:cs="Times New Roman"/>
                </w:rPr>
                <w:t xml:space="preserve">2020 Analysis </w:t>
              </w:r>
              <w:r w:rsidRPr="001F5B24">
                <w:rPr>
                  <w:rFonts w:ascii="Times New Roman" w:hAnsi="Times New Roman" w:cs="Times New Roman"/>
                </w:rPr>
                <w:ptab w:relativeTo="margin" w:alignment="right" w:leader="dot"/>
              </w:r>
              <w:r w:rsidR="00E969C2">
                <w:rPr>
                  <w:rFonts w:ascii="Times New Roman" w:eastAsia="MS Mincho" w:hAnsi="Times New Roman" w:cs="Times New Roman"/>
                </w:rPr>
                <w:t>25</w:t>
              </w:r>
            </w:p>
            <w:p w14:paraId="5E015E7B" w14:textId="64E98E15" w:rsidR="00CC4666" w:rsidRPr="00582211" w:rsidRDefault="00582211" w:rsidP="002069C1">
              <w:pPr>
                <w:spacing w:after="100" w:line="276" w:lineRule="auto"/>
                <w:ind w:left="216"/>
                <w:rPr>
                  <w:rFonts w:ascii="Times New Roman" w:hAnsi="Times New Roman" w:cs="Times New Roman"/>
                </w:rPr>
              </w:pPr>
              <w:r>
                <w:rPr>
                  <w:rFonts w:ascii="Times New Roman" w:eastAsia="MS Mincho" w:hAnsi="Times New Roman" w:cs="Times New Roman"/>
                  <w:b/>
                  <w:color w:val="082A75"/>
                  <w:sz w:val="28"/>
                </w:rPr>
                <w:t>Conclusion</w:t>
              </w:r>
              <w:r w:rsidRPr="001F5B24">
                <w:rPr>
                  <w:rFonts w:ascii="Times New Roman" w:eastAsia="MS Mincho" w:hAnsi="Times New Roman" w:cs="Times New Roman"/>
                  <w:b/>
                  <w:color w:val="082A75"/>
                  <w:sz w:val="28"/>
                </w:rPr>
                <w:t xml:space="preserve"> </w:t>
              </w:r>
              <w:r w:rsidRPr="001F5B24">
                <w:rPr>
                  <w:rFonts w:ascii="Times New Roman" w:hAnsi="Times New Roman" w:cs="Times New Roman"/>
                </w:rPr>
                <w:ptab w:relativeTo="margin" w:alignment="right" w:leader="dot"/>
              </w:r>
              <w:r w:rsidR="009C26A5">
                <w:rPr>
                  <w:rFonts w:ascii="Times New Roman" w:eastAsia="MS Mincho" w:hAnsi="Times New Roman" w:cs="Times New Roman"/>
                  <w:b/>
                  <w:color w:val="082A75"/>
                  <w:sz w:val="28"/>
                </w:rPr>
                <w:t>33</w:t>
              </w:r>
            </w:p>
            <w:p w14:paraId="29063CAE" w14:textId="04B33312" w:rsidR="002C2C3F" w:rsidRPr="00582211" w:rsidRDefault="00655A63" w:rsidP="00582211">
              <w:pPr>
                <w:spacing w:after="100" w:line="276" w:lineRule="auto"/>
                <w:ind w:left="216"/>
                <w:rPr>
                  <w:rFonts w:ascii="Times New Roman" w:eastAsia="MS Mincho" w:hAnsi="Times New Roman" w:cs="Times New Roman"/>
                  <w:b/>
                  <w:color w:val="082A75"/>
                  <w:sz w:val="28"/>
                </w:rPr>
              </w:pPr>
              <w:r>
                <w:rPr>
                  <w:rFonts w:ascii="Times New Roman" w:eastAsia="MS Mincho" w:hAnsi="Times New Roman" w:cs="Times New Roman"/>
                  <w:b/>
                  <w:color w:val="082A75"/>
                  <w:sz w:val="28"/>
                </w:rPr>
                <w:t>Reference</w:t>
              </w:r>
              <w:r w:rsidR="00643450">
                <w:rPr>
                  <w:rFonts w:ascii="Times New Roman" w:eastAsia="MS Mincho" w:hAnsi="Times New Roman" w:cs="Times New Roman"/>
                  <w:b/>
                  <w:color w:val="082A75"/>
                  <w:sz w:val="28"/>
                </w:rPr>
                <w:t>s</w:t>
              </w:r>
              <w:r w:rsidRPr="001F5B24">
                <w:rPr>
                  <w:rFonts w:ascii="Times New Roman" w:hAnsi="Times New Roman" w:cs="Times New Roman"/>
                </w:rPr>
                <w:ptab w:relativeTo="margin" w:alignment="right" w:leader="dot"/>
              </w:r>
              <w:r w:rsidR="0080482F">
                <w:rPr>
                  <w:rFonts w:ascii="Times New Roman" w:eastAsia="MS Mincho" w:hAnsi="Times New Roman" w:cs="Times New Roman"/>
                  <w:b/>
                  <w:color w:val="082A75"/>
                  <w:sz w:val="28"/>
                </w:rPr>
                <w:t>34</w:t>
              </w:r>
            </w:p>
          </w:sdtContent>
        </w:sdt>
      </w:sdtContent>
    </w:sdt>
    <w:p w14:paraId="4BCB8DBF" w14:textId="77777777" w:rsidR="00582211" w:rsidRDefault="00582211" w:rsidP="009672A8">
      <w:pPr>
        <w:jc w:val="both"/>
        <w:rPr>
          <w:rFonts w:ascii="Times New Roman" w:hAnsi="Times New Roman" w:cs="Times New Roman"/>
          <w:b/>
          <w:bCs/>
          <w:color w:val="4472C4" w:themeColor="accent1"/>
          <w:sz w:val="24"/>
          <w:szCs w:val="24"/>
        </w:rPr>
      </w:pPr>
    </w:p>
    <w:p w14:paraId="1F491E43" w14:textId="77777777" w:rsidR="00582211" w:rsidRDefault="00582211" w:rsidP="009672A8">
      <w:pPr>
        <w:jc w:val="both"/>
        <w:rPr>
          <w:rFonts w:ascii="Times New Roman" w:hAnsi="Times New Roman" w:cs="Times New Roman"/>
          <w:b/>
          <w:bCs/>
          <w:color w:val="4472C4" w:themeColor="accent1"/>
          <w:sz w:val="24"/>
          <w:szCs w:val="24"/>
        </w:rPr>
      </w:pPr>
    </w:p>
    <w:p w14:paraId="7BCFF807" w14:textId="5B09BA9E" w:rsidR="009672A8" w:rsidRPr="001F5B24" w:rsidRDefault="00F17597" w:rsidP="009672A8">
      <w:pPr>
        <w:jc w:val="both"/>
        <w:rPr>
          <w:rFonts w:ascii="Times New Roman" w:hAnsi="Times New Roman" w:cs="Times New Roman"/>
          <w:b/>
          <w:bCs/>
          <w:color w:val="4472C4" w:themeColor="accent1"/>
          <w:sz w:val="24"/>
          <w:szCs w:val="24"/>
        </w:rPr>
      </w:pPr>
      <w:r w:rsidRPr="001F5B24">
        <w:rPr>
          <w:rFonts w:ascii="Times New Roman" w:hAnsi="Times New Roman" w:cs="Times New Roman"/>
          <w:b/>
          <w:bCs/>
          <w:color w:val="4472C4" w:themeColor="accent1"/>
          <w:sz w:val="24"/>
          <w:szCs w:val="24"/>
        </w:rPr>
        <w:lastRenderedPageBreak/>
        <w:t>Introduction</w:t>
      </w:r>
    </w:p>
    <w:p w14:paraId="746B1BC0" w14:textId="55222838" w:rsidR="009672A8" w:rsidRDefault="00F17597" w:rsidP="009672A8">
      <w:pPr>
        <w:jc w:val="both"/>
        <w:rPr>
          <w:rFonts w:ascii="Times New Roman" w:hAnsi="Times New Roman" w:cs="Times New Roman"/>
          <w:sz w:val="24"/>
          <w:szCs w:val="24"/>
        </w:rPr>
      </w:pPr>
      <w:r w:rsidRPr="001F5B24">
        <w:rPr>
          <w:rFonts w:ascii="Times New Roman" w:hAnsi="Times New Roman" w:cs="Times New Roman"/>
          <w:sz w:val="24"/>
          <w:szCs w:val="24"/>
        </w:rPr>
        <w:t>The Solano County Probation Department</w:t>
      </w:r>
      <w:r w:rsidR="008F5DC3" w:rsidRPr="001F5B24">
        <w:rPr>
          <w:rFonts w:ascii="Times New Roman" w:hAnsi="Times New Roman" w:cs="Times New Roman"/>
          <w:sz w:val="24"/>
          <w:szCs w:val="24"/>
        </w:rPr>
        <w:t xml:space="preserve"> Pretrial Services program began in April of 2015.</w:t>
      </w:r>
      <w:r w:rsidRPr="001F5B24">
        <w:rPr>
          <w:rFonts w:ascii="Times New Roman" w:hAnsi="Times New Roman" w:cs="Times New Roman"/>
          <w:sz w:val="24"/>
          <w:szCs w:val="24"/>
        </w:rPr>
        <w:t xml:space="preserve"> </w:t>
      </w:r>
      <w:r w:rsidR="008F5DC3" w:rsidRPr="001F5B24">
        <w:rPr>
          <w:rFonts w:ascii="Times New Roman" w:hAnsi="Times New Roman" w:cs="Times New Roman"/>
          <w:sz w:val="24"/>
          <w:szCs w:val="24"/>
        </w:rPr>
        <w:t>The program utilizes the Ohio Risk Assessment System-Pretrial Assessment Tool</w:t>
      </w:r>
      <w:r w:rsidRPr="001F5B24">
        <w:rPr>
          <w:rFonts w:ascii="Times New Roman" w:hAnsi="Times New Roman" w:cs="Times New Roman"/>
          <w:sz w:val="24"/>
          <w:szCs w:val="24"/>
        </w:rPr>
        <w:t xml:space="preserve"> (ORAS-PAT)</w:t>
      </w:r>
      <w:r w:rsidR="00387ADE">
        <w:rPr>
          <w:rFonts w:ascii="Times New Roman" w:hAnsi="Times New Roman" w:cs="Times New Roman"/>
          <w:sz w:val="24"/>
          <w:szCs w:val="24"/>
        </w:rPr>
        <w:t xml:space="preserve"> to assess an individual’s level of risk </w:t>
      </w:r>
      <w:r w:rsidR="00743635">
        <w:rPr>
          <w:rFonts w:ascii="Times New Roman" w:hAnsi="Times New Roman" w:cs="Times New Roman"/>
          <w:sz w:val="24"/>
          <w:szCs w:val="24"/>
        </w:rPr>
        <w:t xml:space="preserve">for pretrial </w:t>
      </w:r>
      <w:r w:rsidR="00201DC3">
        <w:rPr>
          <w:rFonts w:ascii="Times New Roman" w:hAnsi="Times New Roman" w:cs="Times New Roman"/>
          <w:sz w:val="24"/>
          <w:szCs w:val="24"/>
        </w:rPr>
        <w:t xml:space="preserve">failure-to-appear </w:t>
      </w:r>
      <w:r w:rsidR="00743635">
        <w:rPr>
          <w:rFonts w:ascii="Times New Roman" w:hAnsi="Times New Roman" w:cs="Times New Roman"/>
          <w:sz w:val="24"/>
          <w:szCs w:val="24"/>
        </w:rPr>
        <w:t>and re-arrest</w:t>
      </w:r>
      <w:r w:rsidRPr="001F5B24">
        <w:rPr>
          <w:rFonts w:ascii="Times New Roman" w:hAnsi="Times New Roman" w:cs="Times New Roman"/>
          <w:sz w:val="24"/>
          <w:szCs w:val="24"/>
        </w:rPr>
        <w:t xml:space="preserve">.  This report intends to </w:t>
      </w:r>
      <w:r w:rsidR="00A84D4A" w:rsidRPr="001F5B24">
        <w:rPr>
          <w:rFonts w:ascii="Times New Roman" w:hAnsi="Times New Roman" w:cs="Times New Roman"/>
          <w:sz w:val="24"/>
          <w:szCs w:val="24"/>
        </w:rPr>
        <w:t>c</w:t>
      </w:r>
      <w:r w:rsidR="00A84D4A">
        <w:rPr>
          <w:rFonts w:ascii="Times New Roman" w:hAnsi="Times New Roman" w:cs="Times New Roman"/>
          <w:sz w:val="24"/>
          <w:szCs w:val="24"/>
        </w:rPr>
        <w:t>or</w:t>
      </w:r>
      <w:r w:rsidR="00A84D4A" w:rsidRPr="001F5B24">
        <w:rPr>
          <w:rFonts w:ascii="Times New Roman" w:hAnsi="Times New Roman" w:cs="Times New Roman"/>
          <w:sz w:val="24"/>
          <w:szCs w:val="24"/>
        </w:rPr>
        <w:t>respond</w:t>
      </w:r>
      <w:r w:rsidRPr="001F5B24">
        <w:rPr>
          <w:rFonts w:ascii="Times New Roman" w:hAnsi="Times New Roman" w:cs="Times New Roman"/>
          <w:sz w:val="24"/>
          <w:szCs w:val="24"/>
        </w:rPr>
        <w:t xml:space="preserve"> to the Judicial Council and SB 36 and AB3364 requirements related to a pretrial risk assessment tool validation and testing of disparate impact and bias based on gender and race/ethnicity. </w:t>
      </w:r>
      <w:r w:rsidR="00F72F06">
        <w:rPr>
          <w:rFonts w:ascii="Times New Roman" w:hAnsi="Times New Roman" w:cs="Times New Roman"/>
          <w:sz w:val="24"/>
          <w:szCs w:val="24"/>
        </w:rPr>
        <w:t>In Solano County, e</w:t>
      </w:r>
      <w:r w:rsidRPr="001F5B24">
        <w:rPr>
          <w:rFonts w:ascii="Times New Roman" w:hAnsi="Times New Roman" w:cs="Times New Roman"/>
          <w:sz w:val="24"/>
          <w:szCs w:val="24"/>
        </w:rPr>
        <w:t xml:space="preserve">ligibility screening for pretrial </w:t>
      </w:r>
      <w:r w:rsidR="00F72F06">
        <w:rPr>
          <w:rFonts w:ascii="Times New Roman" w:hAnsi="Times New Roman" w:cs="Times New Roman"/>
          <w:sz w:val="24"/>
          <w:szCs w:val="24"/>
        </w:rPr>
        <w:t xml:space="preserve">assessment </w:t>
      </w:r>
      <w:r w:rsidRPr="001F5B24">
        <w:rPr>
          <w:rFonts w:ascii="Times New Roman" w:hAnsi="Times New Roman" w:cs="Times New Roman"/>
          <w:sz w:val="24"/>
          <w:szCs w:val="24"/>
        </w:rPr>
        <w:t xml:space="preserve">is conducted at </w:t>
      </w:r>
      <w:r w:rsidR="00F72F06">
        <w:rPr>
          <w:rFonts w:ascii="Times New Roman" w:hAnsi="Times New Roman" w:cs="Times New Roman"/>
          <w:sz w:val="24"/>
          <w:szCs w:val="24"/>
        </w:rPr>
        <w:t>pre-arraignment</w:t>
      </w:r>
      <w:r w:rsidRPr="001F5B24">
        <w:rPr>
          <w:rFonts w:ascii="Times New Roman" w:hAnsi="Times New Roman" w:cs="Times New Roman"/>
          <w:sz w:val="24"/>
          <w:szCs w:val="24"/>
        </w:rPr>
        <w:t xml:space="preserve"> or earliest point after that. </w:t>
      </w:r>
      <w:r w:rsidR="00A845B7">
        <w:rPr>
          <w:rFonts w:ascii="Times New Roman" w:hAnsi="Times New Roman" w:cs="Times New Roman"/>
          <w:sz w:val="24"/>
          <w:szCs w:val="24"/>
        </w:rPr>
        <w:t xml:space="preserve">The Solano County Probation Department Pretrial Services program utilizes established eligibility criteria agreed upon by the Court and justice system partners. </w:t>
      </w:r>
      <w:r w:rsidRPr="001F5B24">
        <w:rPr>
          <w:rFonts w:ascii="Times New Roman" w:hAnsi="Times New Roman" w:cs="Times New Roman"/>
          <w:sz w:val="24"/>
          <w:szCs w:val="24"/>
        </w:rPr>
        <w:t xml:space="preserve">Those who are not eligible </w:t>
      </w:r>
      <w:r w:rsidR="00D72C9A">
        <w:rPr>
          <w:rFonts w:ascii="Times New Roman" w:hAnsi="Times New Roman" w:cs="Times New Roman"/>
          <w:sz w:val="24"/>
          <w:szCs w:val="24"/>
        </w:rPr>
        <w:t>to be screened for pretrial release pre</w:t>
      </w:r>
      <w:r w:rsidR="009D51C7">
        <w:rPr>
          <w:rFonts w:ascii="Times New Roman" w:hAnsi="Times New Roman" w:cs="Times New Roman"/>
          <w:sz w:val="24"/>
          <w:szCs w:val="24"/>
        </w:rPr>
        <w:t>-</w:t>
      </w:r>
      <w:r w:rsidR="00D72C9A">
        <w:rPr>
          <w:rFonts w:ascii="Times New Roman" w:hAnsi="Times New Roman" w:cs="Times New Roman"/>
          <w:sz w:val="24"/>
          <w:szCs w:val="24"/>
        </w:rPr>
        <w:t xml:space="preserve">arrangement are those individuals who are booked on </w:t>
      </w:r>
      <w:r w:rsidRPr="001F5B24">
        <w:rPr>
          <w:rFonts w:ascii="Times New Roman" w:hAnsi="Times New Roman" w:cs="Times New Roman"/>
          <w:sz w:val="24"/>
          <w:szCs w:val="24"/>
        </w:rPr>
        <w:t xml:space="preserve">fugitive holds, </w:t>
      </w:r>
      <w:r w:rsidR="00824465">
        <w:rPr>
          <w:rFonts w:ascii="Times New Roman" w:hAnsi="Times New Roman" w:cs="Times New Roman"/>
          <w:sz w:val="24"/>
          <w:szCs w:val="24"/>
        </w:rPr>
        <w:t>federal</w:t>
      </w:r>
      <w:r w:rsidRPr="001F5B24">
        <w:rPr>
          <w:rFonts w:ascii="Times New Roman" w:hAnsi="Times New Roman" w:cs="Times New Roman"/>
          <w:sz w:val="24"/>
          <w:szCs w:val="24"/>
        </w:rPr>
        <w:t xml:space="preserve"> holds, parole holds, formal probation holds, felony warrants, and no bail 1320PC</w:t>
      </w:r>
      <w:r w:rsidR="009D51C7">
        <w:rPr>
          <w:rFonts w:ascii="Times New Roman" w:hAnsi="Times New Roman" w:cs="Times New Roman"/>
          <w:sz w:val="24"/>
          <w:szCs w:val="24"/>
        </w:rPr>
        <w:t xml:space="preserve"> charges</w:t>
      </w:r>
      <w:r w:rsidRPr="001F5B24">
        <w:rPr>
          <w:rFonts w:ascii="Times New Roman" w:hAnsi="Times New Roman" w:cs="Times New Roman"/>
          <w:sz w:val="24"/>
          <w:szCs w:val="24"/>
        </w:rPr>
        <w:t xml:space="preserve">. </w:t>
      </w:r>
      <w:r w:rsidR="00B57BA0" w:rsidRPr="005710C3">
        <w:rPr>
          <w:rFonts w:ascii="Times New Roman" w:hAnsi="Times New Roman" w:cs="Times New Roman"/>
          <w:sz w:val="24"/>
          <w:szCs w:val="24"/>
        </w:rPr>
        <w:t xml:space="preserve">Those individuals who post bail pre-arraignment, the District Attorney decides not to file charges on, or are released with a Promise to Appear (PTA) by the jail are also not screened.  All bail eligible felonies, as well as misdemeanor Domestic Violence and Driving Under the Influence (DUI) are screened. All other misdemeanors are not screened, as they are either released with a Promise to Appear (PTA) pre-arraignment or on their own recognizance at arraignment.  All non-eligible </w:t>
      </w:r>
      <w:r w:rsidR="005710C3" w:rsidRPr="005710C3">
        <w:rPr>
          <w:rFonts w:ascii="Times New Roman" w:hAnsi="Times New Roman" w:cs="Times New Roman"/>
          <w:sz w:val="24"/>
          <w:szCs w:val="24"/>
        </w:rPr>
        <w:t>individuals</w:t>
      </w:r>
      <w:r w:rsidR="003A4795">
        <w:rPr>
          <w:rFonts w:ascii="Times New Roman" w:hAnsi="Times New Roman" w:cs="Times New Roman"/>
          <w:sz w:val="24"/>
          <w:szCs w:val="24"/>
        </w:rPr>
        <w:t xml:space="preserve"> </w:t>
      </w:r>
      <w:r w:rsidR="003C6715">
        <w:rPr>
          <w:rFonts w:ascii="Times New Roman" w:hAnsi="Times New Roman" w:cs="Times New Roman"/>
          <w:sz w:val="24"/>
          <w:szCs w:val="24"/>
        </w:rPr>
        <w:t>in</w:t>
      </w:r>
      <w:r w:rsidR="00B57BA0" w:rsidRPr="005710C3">
        <w:rPr>
          <w:rFonts w:ascii="Times New Roman" w:hAnsi="Times New Roman" w:cs="Times New Roman"/>
          <w:sz w:val="24"/>
          <w:szCs w:val="24"/>
        </w:rPr>
        <w:t xml:space="preserve"> pre-arraignment can be referred for pretrial release screening post arraignment, as ordered by the Court.</w:t>
      </w:r>
      <w:r w:rsidR="00C740A2">
        <w:rPr>
          <w:rFonts w:ascii="Times New Roman" w:hAnsi="Times New Roman" w:cs="Times New Roman"/>
          <w:sz w:val="24"/>
          <w:szCs w:val="24"/>
        </w:rPr>
        <w:t xml:space="preserve"> </w:t>
      </w:r>
      <w:r w:rsidR="00ED38EB" w:rsidRPr="00ED38EB">
        <w:rPr>
          <w:rFonts w:ascii="Times New Roman" w:hAnsi="Times New Roman" w:cs="Times New Roman"/>
          <w:sz w:val="24"/>
          <w:szCs w:val="24"/>
        </w:rPr>
        <w:t xml:space="preserve">Pretrial Services prepares a report for the Court, summarizing the pretrial risk score, contributing risk factors, positive factors, social </w:t>
      </w:r>
      <w:r w:rsidR="00871D79" w:rsidRPr="00ED38EB">
        <w:rPr>
          <w:rFonts w:ascii="Times New Roman" w:hAnsi="Times New Roman" w:cs="Times New Roman"/>
          <w:sz w:val="24"/>
          <w:szCs w:val="24"/>
        </w:rPr>
        <w:t>factors,</w:t>
      </w:r>
      <w:r w:rsidR="00ED38EB" w:rsidRPr="00ED38EB">
        <w:rPr>
          <w:rFonts w:ascii="Times New Roman" w:hAnsi="Times New Roman" w:cs="Times New Roman"/>
          <w:sz w:val="24"/>
          <w:szCs w:val="24"/>
        </w:rPr>
        <w:t xml:space="preserve"> and victim information if available.  </w:t>
      </w:r>
      <w:r w:rsidR="006773FD">
        <w:rPr>
          <w:rFonts w:ascii="Times New Roman" w:hAnsi="Times New Roman" w:cs="Times New Roman"/>
          <w:sz w:val="24"/>
          <w:szCs w:val="24"/>
        </w:rPr>
        <w:t>The risk score and pretrial report</w:t>
      </w:r>
      <w:r w:rsidR="00A3389A">
        <w:rPr>
          <w:rFonts w:ascii="Times New Roman" w:hAnsi="Times New Roman" w:cs="Times New Roman"/>
          <w:sz w:val="24"/>
          <w:szCs w:val="24"/>
        </w:rPr>
        <w:t xml:space="preserve"> are</w:t>
      </w:r>
      <w:r w:rsidR="00ED38EB" w:rsidRPr="00ED38EB">
        <w:rPr>
          <w:rFonts w:ascii="Times New Roman" w:hAnsi="Times New Roman" w:cs="Times New Roman"/>
          <w:sz w:val="24"/>
          <w:szCs w:val="24"/>
        </w:rPr>
        <w:t xml:space="preserve"> used to inform decisions by the Court as to whether an individual is appropriate to be released pretrial along with their release type and condition of release, or if they should be detained.</w:t>
      </w:r>
      <w:r w:rsidR="00ED38EB" w:rsidRPr="009672A8">
        <w:rPr>
          <w:rFonts w:ascii="Times New Roman" w:hAnsi="Times New Roman" w:cs="Times New Roman"/>
          <w:sz w:val="24"/>
          <w:szCs w:val="24"/>
        </w:rPr>
        <w:t xml:space="preserve"> </w:t>
      </w:r>
      <w:r w:rsidRPr="001F5B24">
        <w:rPr>
          <w:rFonts w:ascii="Times New Roman" w:hAnsi="Times New Roman" w:cs="Times New Roman"/>
          <w:sz w:val="24"/>
          <w:szCs w:val="24"/>
        </w:rPr>
        <w:t xml:space="preserve"> </w:t>
      </w:r>
    </w:p>
    <w:p w14:paraId="1242F795" w14:textId="77777777" w:rsidR="00614283" w:rsidRPr="001F5B24" w:rsidRDefault="00614283" w:rsidP="00614283">
      <w:pPr>
        <w:pStyle w:val="Content"/>
        <w:rPr>
          <w:rFonts w:ascii="Times New Roman" w:hAnsi="Times New Roman" w:cs="Times New Roman"/>
          <w:b/>
          <w:bCs/>
          <w:color w:val="4472C4" w:themeColor="accent1"/>
          <w:sz w:val="24"/>
          <w:szCs w:val="24"/>
        </w:rPr>
      </w:pPr>
      <w:r w:rsidRPr="001F5B24">
        <w:rPr>
          <w:rFonts w:ascii="Times New Roman" w:hAnsi="Times New Roman" w:cs="Times New Roman"/>
          <w:b/>
          <w:bCs/>
          <w:color w:val="4472C4" w:themeColor="accent1"/>
          <w:sz w:val="24"/>
          <w:szCs w:val="24"/>
        </w:rPr>
        <w:t>Data</w:t>
      </w:r>
    </w:p>
    <w:p w14:paraId="2E20D63D" w14:textId="02BA2F55" w:rsidR="00614283" w:rsidRPr="001F5B24" w:rsidRDefault="00614283" w:rsidP="00614283">
      <w:pPr>
        <w:pStyle w:val="Content"/>
        <w:jc w:val="both"/>
        <w:rPr>
          <w:rFonts w:ascii="Times New Roman" w:hAnsi="Times New Roman" w:cs="Times New Roman"/>
          <w:color w:val="auto"/>
          <w:sz w:val="24"/>
          <w:szCs w:val="24"/>
        </w:rPr>
      </w:pPr>
      <w:r w:rsidRPr="001F5B24">
        <w:rPr>
          <w:rFonts w:ascii="Times New Roman" w:hAnsi="Times New Roman" w:cs="Times New Roman"/>
          <w:color w:val="auto"/>
          <w:sz w:val="24"/>
          <w:szCs w:val="24"/>
        </w:rPr>
        <w:t>For this report, the information gathered de-identified information on individuals who received an ORAS-PAT assessment (n=753) in 2019 and 2020 (n=5</w:t>
      </w:r>
      <w:r w:rsidR="004D745B">
        <w:rPr>
          <w:rFonts w:ascii="Times New Roman" w:hAnsi="Times New Roman" w:cs="Times New Roman"/>
          <w:color w:val="auto"/>
          <w:sz w:val="24"/>
          <w:szCs w:val="24"/>
        </w:rPr>
        <w:t>58</w:t>
      </w:r>
      <w:r w:rsidRPr="001F5B24">
        <w:rPr>
          <w:rFonts w:ascii="Times New Roman" w:hAnsi="Times New Roman" w:cs="Times New Roman"/>
          <w:color w:val="auto"/>
          <w:sz w:val="24"/>
          <w:szCs w:val="24"/>
        </w:rPr>
        <w:t xml:space="preserve">).  Due to COVID-19 implications, </w:t>
      </w:r>
      <w:r w:rsidR="00D406E5">
        <w:rPr>
          <w:rFonts w:ascii="Times New Roman" w:hAnsi="Times New Roman" w:cs="Times New Roman"/>
          <w:color w:val="auto"/>
          <w:sz w:val="24"/>
          <w:szCs w:val="24"/>
        </w:rPr>
        <w:t>the researcher</w:t>
      </w:r>
      <w:r w:rsidRPr="001F5B24">
        <w:rPr>
          <w:rFonts w:ascii="Times New Roman" w:hAnsi="Times New Roman" w:cs="Times New Roman"/>
          <w:color w:val="auto"/>
          <w:sz w:val="24"/>
          <w:szCs w:val="24"/>
        </w:rPr>
        <w:t xml:space="preserve"> examined the data per year to account for the impacts of COVID-19. The data in this report included the individual ORAS-PAT risk score,</w:t>
      </w:r>
      <w:r w:rsidR="00E2467A">
        <w:rPr>
          <w:rFonts w:ascii="Times New Roman" w:hAnsi="Times New Roman" w:cs="Times New Roman"/>
          <w:color w:val="auto"/>
          <w:sz w:val="24"/>
          <w:szCs w:val="24"/>
        </w:rPr>
        <w:t xml:space="preserve"> </w:t>
      </w:r>
      <w:r w:rsidR="00201DC3">
        <w:rPr>
          <w:rFonts w:ascii="Times New Roman" w:hAnsi="Times New Roman" w:cs="Times New Roman"/>
          <w:color w:val="auto"/>
          <w:sz w:val="24"/>
          <w:szCs w:val="24"/>
        </w:rPr>
        <w:t xml:space="preserve">failure-to-appear </w:t>
      </w:r>
      <w:r w:rsidR="00E2467A">
        <w:rPr>
          <w:rFonts w:ascii="Times New Roman" w:hAnsi="Times New Roman" w:cs="Times New Roman"/>
          <w:color w:val="auto"/>
          <w:sz w:val="24"/>
          <w:szCs w:val="24"/>
        </w:rPr>
        <w:t>(</w:t>
      </w:r>
      <w:r w:rsidRPr="001F5B24">
        <w:rPr>
          <w:rFonts w:ascii="Times New Roman" w:hAnsi="Times New Roman" w:cs="Times New Roman"/>
          <w:color w:val="auto"/>
          <w:sz w:val="24"/>
          <w:szCs w:val="24"/>
        </w:rPr>
        <w:t>FTA</w:t>
      </w:r>
      <w:r w:rsidR="00E2467A">
        <w:rPr>
          <w:rFonts w:ascii="Times New Roman" w:hAnsi="Times New Roman" w:cs="Times New Roman"/>
          <w:color w:val="auto"/>
          <w:sz w:val="24"/>
          <w:szCs w:val="24"/>
        </w:rPr>
        <w:t>)</w:t>
      </w:r>
      <w:r w:rsidRPr="001F5B24">
        <w:rPr>
          <w:rFonts w:ascii="Times New Roman" w:hAnsi="Times New Roman" w:cs="Times New Roman"/>
          <w:color w:val="auto"/>
          <w:sz w:val="24"/>
          <w:szCs w:val="24"/>
        </w:rPr>
        <w:t xml:space="preserve"> outcomes, race, </w:t>
      </w:r>
      <w:r>
        <w:rPr>
          <w:rFonts w:ascii="Times New Roman" w:hAnsi="Times New Roman" w:cs="Times New Roman"/>
          <w:color w:val="auto"/>
          <w:sz w:val="24"/>
          <w:szCs w:val="24"/>
        </w:rPr>
        <w:t>gender</w:t>
      </w:r>
      <w:r w:rsidRPr="001F5B24">
        <w:rPr>
          <w:rFonts w:ascii="Times New Roman" w:hAnsi="Times New Roman" w:cs="Times New Roman"/>
          <w:color w:val="auto"/>
          <w:sz w:val="24"/>
          <w:szCs w:val="24"/>
        </w:rPr>
        <w:t>, age, city, zip code, new misdemeanor,</w:t>
      </w:r>
      <w:r>
        <w:rPr>
          <w:rFonts w:ascii="Times New Roman" w:hAnsi="Times New Roman" w:cs="Times New Roman"/>
          <w:color w:val="auto"/>
          <w:sz w:val="24"/>
          <w:szCs w:val="24"/>
        </w:rPr>
        <w:t xml:space="preserve"> or </w:t>
      </w:r>
      <w:r w:rsidRPr="001F5B24">
        <w:rPr>
          <w:rFonts w:ascii="Times New Roman" w:hAnsi="Times New Roman" w:cs="Times New Roman"/>
          <w:color w:val="auto"/>
          <w:sz w:val="24"/>
          <w:szCs w:val="24"/>
        </w:rPr>
        <w:t xml:space="preserve">felony </w:t>
      </w:r>
      <w:r>
        <w:rPr>
          <w:rFonts w:ascii="Times New Roman" w:hAnsi="Times New Roman" w:cs="Times New Roman"/>
          <w:color w:val="auto"/>
          <w:sz w:val="24"/>
          <w:szCs w:val="24"/>
        </w:rPr>
        <w:t>arrest</w:t>
      </w:r>
      <w:r w:rsidRPr="001F5B24">
        <w:rPr>
          <w:rFonts w:ascii="Times New Roman" w:hAnsi="Times New Roman" w:cs="Times New Roman"/>
          <w:color w:val="auto"/>
          <w:sz w:val="24"/>
          <w:szCs w:val="24"/>
        </w:rPr>
        <w:t>, pretrial</w:t>
      </w:r>
      <w:r>
        <w:rPr>
          <w:rFonts w:ascii="Times New Roman" w:hAnsi="Times New Roman" w:cs="Times New Roman"/>
          <w:color w:val="auto"/>
          <w:sz w:val="24"/>
          <w:szCs w:val="24"/>
        </w:rPr>
        <w:t xml:space="preserve"> supervision release</w:t>
      </w:r>
      <w:r w:rsidRPr="001F5B24">
        <w:rPr>
          <w:rFonts w:ascii="Times New Roman" w:hAnsi="Times New Roman" w:cs="Times New Roman"/>
          <w:color w:val="auto"/>
          <w:sz w:val="24"/>
          <w:szCs w:val="24"/>
        </w:rPr>
        <w:t xml:space="preserve">, </w:t>
      </w:r>
      <w:r>
        <w:rPr>
          <w:rFonts w:ascii="Times New Roman" w:hAnsi="Times New Roman" w:cs="Times New Roman"/>
          <w:color w:val="auto"/>
          <w:sz w:val="24"/>
          <w:szCs w:val="24"/>
        </w:rPr>
        <w:t>own recogniza</w:t>
      </w:r>
      <w:r w:rsidRPr="006A40A5">
        <w:rPr>
          <w:rFonts w:ascii="Times New Roman" w:hAnsi="Times New Roman" w:cs="Times New Roman"/>
          <w:color w:val="auto"/>
          <w:sz w:val="24"/>
          <w:szCs w:val="24"/>
        </w:rPr>
        <w:t>nce release (ORR),</w:t>
      </w:r>
      <w:r w:rsidRPr="001F5B24">
        <w:rPr>
          <w:rFonts w:ascii="Times New Roman" w:hAnsi="Times New Roman" w:cs="Times New Roman"/>
          <w:color w:val="auto"/>
          <w:sz w:val="24"/>
          <w:szCs w:val="24"/>
        </w:rPr>
        <w:t xml:space="preserve"> recommended by </w:t>
      </w:r>
      <w:r w:rsidR="00E2467A">
        <w:rPr>
          <w:rFonts w:ascii="Times New Roman" w:hAnsi="Times New Roman" w:cs="Times New Roman"/>
          <w:color w:val="auto"/>
          <w:sz w:val="24"/>
          <w:szCs w:val="24"/>
        </w:rPr>
        <w:t>P</w:t>
      </w:r>
      <w:r w:rsidRPr="001F5B24">
        <w:rPr>
          <w:rFonts w:ascii="Times New Roman" w:hAnsi="Times New Roman" w:cs="Times New Roman"/>
          <w:color w:val="auto"/>
          <w:sz w:val="24"/>
          <w:szCs w:val="24"/>
        </w:rPr>
        <w:t xml:space="preserve">robation, and those referred by the court. The pretrial sample consisted of individuals </w:t>
      </w:r>
      <w:r>
        <w:rPr>
          <w:rFonts w:ascii="Times New Roman" w:hAnsi="Times New Roman" w:cs="Times New Roman"/>
          <w:color w:val="auto"/>
          <w:sz w:val="24"/>
          <w:szCs w:val="24"/>
        </w:rPr>
        <w:t xml:space="preserve">released on pretrial supervision by the Court who had a completed pretrial risk assessment on file. </w:t>
      </w:r>
    </w:p>
    <w:p w14:paraId="3062BD2A" w14:textId="3CC7A419" w:rsidR="00614283" w:rsidRDefault="00614283" w:rsidP="009672A8">
      <w:pPr>
        <w:jc w:val="both"/>
        <w:rPr>
          <w:rFonts w:ascii="Times New Roman" w:hAnsi="Times New Roman" w:cs="Times New Roman"/>
          <w:sz w:val="24"/>
          <w:szCs w:val="24"/>
        </w:rPr>
      </w:pPr>
    </w:p>
    <w:p w14:paraId="51EF26ED" w14:textId="5EB535C0" w:rsidR="00614283" w:rsidRDefault="00614283" w:rsidP="009672A8">
      <w:pPr>
        <w:jc w:val="both"/>
        <w:rPr>
          <w:rFonts w:ascii="Times New Roman" w:hAnsi="Times New Roman" w:cs="Times New Roman"/>
          <w:sz w:val="24"/>
          <w:szCs w:val="24"/>
        </w:rPr>
      </w:pPr>
    </w:p>
    <w:p w14:paraId="68DBF6EA" w14:textId="599C6BFD" w:rsidR="00614283" w:rsidRDefault="00614283" w:rsidP="009672A8">
      <w:pPr>
        <w:jc w:val="both"/>
        <w:rPr>
          <w:rFonts w:ascii="Times New Roman" w:hAnsi="Times New Roman" w:cs="Times New Roman"/>
          <w:sz w:val="24"/>
          <w:szCs w:val="24"/>
        </w:rPr>
      </w:pPr>
    </w:p>
    <w:p w14:paraId="70CE1EEF" w14:textId="73BB9A5F" w:rsidR="00614283" w:rsidRDefault="00614283" w:rsidP="009672A8">
      <w:pPr>
        <w:jc w:val="both"/>
        <w:rPr>
          <w:rFonts w:ascii="Times New Roman" w:hAnsi="Times New Roman" w:cs="Times New Roman"/>
          <w:sz w:val="24"/>
          <w:szCs w:val="24"/>
        </w:rPr>
      </w:pPr>
    </w:p>
    <w:p w14:paraId="7F1E262B" w14:textId="0908E007" w:rsidR="00982F0B" w:rsidRDefault="00982F0B" w:rsidP="009672A8">
      <w:pPr>
        <w:jc w:val="both"/>
        <w:rPr>
          <w:rFonts w:ascii="Times New Roman" w:hAnsi="Times New Roman" w:cs="Times New Roman"/>
          <w:sz w:val="24"/>
          <w:szCs w:val="24"/>
        </w:rPr>
      </w:pPr>
    </w:p>
    <w:p w14:paraId="7C925750" w14:textId="77777777" w:rsidR="00761A6A" w:rsidRDefault="00761A6A" w:rsidP="009672A8">
      <w:pPr>
        <w:jc w:val="both"/>
        <w:rPr>
          <w:rFonts w:ascii="Times New Roman" w:hAnsi="Times New Roman" w:cs="Times New Roman"/>
          <w:sz w:val="24"/>
          <w:szCs w:val="24"/>
        </w:rPr>
      </w:pPr>
    </w:p>
    <w:p w14:paraId="58615505" w14:textId="77777777" w:rsidR="00614283" w:rsidRPr="001F5B24" w:rsidRDefault="00614283" w:rsidP="009672A8">
      <w:pPr>
        <w:jc w:val="both"/>
        <w:rPr>
          <w:rFonts w:ascii="Times New Roman" w:hAnsi="Times New Roman" w:cs="Times New Roman"/>
          <w:sz w:val="24"/>
          <w:szCs w:val="24"/>
        </w:rPr>
      </w:pPr>
    </w:p>
    <w:p w14:paraId="400077FA" w14:textId="77777777" w:rsidR="009672A8" w:rsidRPr="00C42107" w:rsidRDefault="00F17597" w:rsidP="009672A8">
      <w:pPr>
        <w:jc w:val="both"/>
        <w:rPr>
          <w:rFonts w:ascii="Times New Roman" w:hAnsi="Times New Roman" w:cs="Times New Roman"/>
          <w:b/>
          <w:bCs/>
          <w:color w:val="4472C4" w:themeColor="accent1"/>
          <w:sz w:val="24"/>
          <w:szCs w:val="24"/>
        </w:rPr>
      </w:pPr>
      <w:r w:rsidRPr="00C42107">
        <w:rPr>
          <w:rFonts w:ascii="Times New Roman" w:hAnsi="Times New Roman" w:cs="Times New Roman"/>
          <w:b/>
          <w:bCs/>
          <w:color w:val="4472C4" w:themeColor="accent1"/>
          <w:sz w:val="24"/>
          <w:szCs w:val="24"/>
        </w:rPr>
        <w:lastRenderedPageBreak/>
        <w:t>ORAS-PAT tool</w:t>
      </w:r>
    </w:p>
    <w:p w14:paraId="47866BF4" w14:textId="2223EA39" w:rsidR="003A7E99" w:rsidRPr="00C42107" w:rsidRDefault="00F17597" w:rsidP="009672A8">
      <w:pPr>
        <w:jc w:val="both"/>
        <w:rPr>
          <w:rFonts w:ascii="Times New Roman" w:hAnsi="Times New Roman" w:cs="Times New Roman"/>
          <w:sz w:val="24"/>
          <w:szCs w:val="24"/>
        </w:rPr>
      </w:pPr>
      <w:r w:rsidRPr="00C42107">
        <w:rPr>
          <w:rFonts w:ascii="Times New Roman" w:hAnsi="Times New Roman" w:cs="Times New Roman"/>
          <w:sz w:val="24"/>
          <w:szCs w:val="24"/>
        </w:rPr>
        <w:t>The ORAS-P</w:t>
      </w:r>
      <w:r w:rsidR="00302790" w:rsidRPr="00C42107">
        <w:rPr>
          <w:rFonts w:ascii="Times New Roman" w:hAnsi="Times New Roman" w:cs="Times New Roman"/>
          <w:sz w:val="24"/>
          <w:szCs w:val="24"/>
        </w:rPr>
        <w:t>A</w:t>
      </w:r>
      <w:r w:rsidRPr="00C42107">
        <w:rPr>
          <w:rFonts w:ascii="Times New Roman" w:hAnsi="Times New Roman" w:cs="Times New Roman"/>
          <w:sz w:val="24"/>
          <w:szCs w:val="24"/>
        </w:rPr>
        <w:t xml:space="preserve">T is a six-item scale that provides a risk score ranging from </w:t>
      </w:r>
      <w:r w:rsidR="00833773">
        <w:rPr>
          <w:rFonts w:ascii="Times New Roman" w:hAnsi="Times New Roman" w:cs="Times New Roman"/>
          <w:sz w:val="24"/>
          <w:szCs w:val="24"/>
        </w:rPr>
        <w:t>zero</w:t>
      </w:r>
      <w:r w:rsidRPr="00C42107">
        <w:rPr>
          <w:rFonts w:ascii="Times New Roman" w:hAnsi="Times New Roman" w:cs="Times New Roman"/>
          <w:sz w:val="24"/>
          <w:szCs w:val="24"/>
        </w:rPr>
        <w:t xml:space="preserve"> to </w:t>
      </w:r>
      <w:r w:rsidR="00833773">
        <w:rPr>
          <w:rFonts w:ascii="Times New Roman" w:hAnsi="Times New Roman" w:cs="Times New Roman"/>
          <w:sz w:val="24"/>
          <w:szCs w:val="24"/>
        </w:rPr>
        <w:t>nine</w:t>
      </w:r>
      <w:r w:rsidRPr="00C42107">
        <w:rPr>
          <w:rFonts w:ascii="Times New Roman" w:hAnsi="Times New Roman" w:cs="Times New Roman"/>
          <w:sz w:val="24"/>
          <w:szCs w:val="24"/>
        </w:rPr>
        <w:t xml:space="preserve">. This score reflects the relative likelihood that </w:t>
      </w:r>
      <w:r w:rsidR="00846A3C">
        <w:rPr>
          <w:rFonts w:ascii="Times New Roman" w:hAnsi="Times New Roman" w:cs="Times New Roman"/>
          <w:sz w:val="24"/>
          <w:szCs w:val="24"/>
        </w:rPr>
        <w:t xml:space="preserve">an individual released from custody </w:t>
      </w:r>
      <w:r w:rsidRPr="00C42107">
        <w:rPr>
          <w:rFonts w:ascii="Times New Roman" w:hAnsi="Times New Roman" w:cs="Times New Roman"/>
          <w:sz w:val="24"/>
          <w:szCs w:val="24"/>
        </w:rPr>
        <w:t xml:space="preserve">will appear in court </w:t>
      </w:r>
      <w:r w:rsidR="00391DC4" w:rsidRPr="00C42107">
        <w:rPr>
          <w:rFonts w:ascii="Times New Roman" w:hAnsi="Times New Roman" w:cs="Times New Roman"/>
          <w:sz w:val="24"/>
          <w:szCs w:val="24"/>
        </w:rPr>
        <w:t xml:space="preserve">or re-offend pending the outcome of their court case.  </w:t>
      </w:r>
      <w:r w:rsidRPr="00C42107">
        <w:rPr>
          <w:rFonts w:ascii="Times New Roman" w:hAnsi="Times New Roman" w:cs="Times New Roman"/>
          <w:sz w:val="24"/>
          <w:szCs w:val="24"/>
        </w:rPr>
        <w:t>The following weigh how ea</w:t>
      </w:r>
      <w:r w:rsidR="00391DC4" w:rsidRPr="00C42107">
        <w:rPr>
          <w:rFonts w:ascii="Times New Roman" w:hAnsi="Times New Roman" w:cs="Times New Roman"/>
          <w:sz w:val="24"/>
          <w:szCs w:val="24"/>
        </w:rPr>
        <w:t>ch</w:t>
      </w:r>
      <w:r w:rsidRPr="00C42107">
        <w:rPr>
          <w:rFonts w:ascii="Times New Roman" w:hAnsi="Times New Roman" w:cs="Times New Roman"/>
          <w:sz w:val="24"/>
          <w:szCs w:val="24"/>
        </w:rPr>
        <w:t xml:space="preserve"> item is calculated.  </w:t>
      </w:r>
    </w:p>
    <w:p w14:paraId="50337C08" w14:textId="08A36568" w:rsidR="009672A8" w:rsidRPr="00C42107" w:rsidRDefault="00E65A98" w:rsidP="009672A8">
      <w:pPr>
        <w:pStyle w:val="Content"/>
        <w:rPr>
          <w:rFonts w:ascii="Times New Roman" w:hAnsi="Times New Roman" w:cs="Times New Roman"/>
          <w:b/>
          <w:bCs/>
          <w:color w:val="auto"/>
          <w:sz w:val="24"/>
          <w:szCs w:val="24"/>
        </w:rPr>
      </w:pPr>
      <w:r>
        <w:rPr>
          <w:rFonts w:ascii="Times New Roman" w:hAnsi="Times New Roman" w:cs="Times New Roman"/>
          <w:b/>
          <w:bCs/>
          <w:color w:val="auto"/>
          <w:sz w:val="24"/>
          <w:szCs w:val="24"/>
        </w:rPr>
        <w:t>Table</w:t>
      </w:r>
      <w:r w:rsidR="00F17597" w:rsidRPr="00C42107">
        <w:rPr>
          <w:rFonts w:ascii="Times New Roman" w:hAnsi="Times New Roman" w:cs="Times New Roman"/>
          <w:b/>
          <w:bCs/>
          <w:color w:val="auto"/>
          <w:sz w:val="24"/>
          <w:szCs w:val="24"/>
        </w:rPr>
        <w:t xml:space="preserve"> 1: ORAS Risk Factors and Scoring Guide </w:t>
      </w:r>
    </w:p>
    <w:tbl>
      <w:tblPr>
        <w:tblStyle w:val="TableGrid"/>
        <w:tblW w:w="0" w:type="auto"/>
        <w:tblLook w:val="04A0" w:firstRow="1" w:lastRow="0" w:firstColumn="1" w:lastColumn="0" w:noHBand="0" w:noVBand="1"/>
      </w:tblPr>
      <w:tblGrid>
        <w:gridCol w:w="3666"/>
        <w:gridCol w:w="3667"/>
        <w:gridCol w:w="1977"/>
      </w:tblGrid>
      <w:tr w:rsidR="00C26AA1" w:rsidRPr="00C42107" w14:paraId="4C710DD4" w14:textId="77777777" w:rsidTr="006C1DF2">
        <w:tc>
          <w:tcPr>
            <w:tcW w:w="3666" w:type="dxa"/>
            <w:shd w:val="clear" w:color="auto" w:fill="B4C6E7" w:themeFill="accent1" w:themeFillTint="66"/>
          </w:tcPr>
          <w:p w14:paraId="5743CEFE"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Pretrial Items </w:t>
            </w:r>
          </w:p>
        </w:tc>
        <w:tc>
          <w:tcPr>
            <w:tcW w:w="3667" w:type="dxa"/>
            <w:shd w:val="clear" w:color="auto" w:fill="B4C6E7" w:themeFill="accent1" w:themeFillTint="66"/>
          </w:tcPr>
          <w:p w14:paraId="5F68B9D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Response</w:t>
            </w:r>
          </w:p>
        </w:tc>
        <w:tc>
          <w:tcPr>
            <w:tcW w:w="1977" w:type="dxa"/>
            <w:shd w:val="clear" w:color="auto" w:fill="B4C6E7" w:themeFill="accent1" w:themeFillTint="66"/>
          </w:tcPr>
          <w:p w14:paraId="4FAD7512"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Weight</w:t>
            </w:r>
          </w:p>
        </w:tc>
      </w:tr>
      <w:tr w:rsidR="00C26AA1" w:rsidRPr="00C42107" w14:paraId="21674E1B" w14:textId="77777777" w:rsidTr="006C1DF2">
        <w:tc>
          <w:tcPr>
            <w:tcW w:w="3666" w:type="dxa"/>
            <w:vMerge w:val="restart"/>
          </w:tcPr>
          <w:p w14:paraId="282C5323" w14:textId="4176139A"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Age at </w:t>
            </w:r>
            <w:r w:rsidR="00BF7140">
              <w:rPr>
                <w:rFonts w:ascii="Times New Roman" w:hAnsi="Times New Roman" w:cs="Times New Roman"/>
                <w:color w:val="auto"/>
                <w:sz w:val="24"/>
              </w:rPr>
              <w:t>f</w:t>
            </w:r>
            <w:r w:rsidRPr="00C42107">
              <w:rPr>
                <w:rFonts w:ascii="Times New Roman" w:hAnsi="Times New Roman" w:cs="Times New Roman"/>
                <w:color w:val="auto"/>
                <w:sz w:val="24"/>
              </w:rPr>
              <w:t xml:space="preserve">irst </w:t>
            </w:r>
            <w:r w:rsidR="00BF7140">
              <w:rPr>
                <w:rFonts w:ascii="Times New Roman" w:hAnsi="Times New Roman" w:cs="Times New Roman"/>
                <w:color w:val="auto"/>
                <w:sz w:val="24"/>
              </w:rPr>
              <w:t>a</w:t>
            </w:r>
            <w:r w:rsidRPr="00C42107">
              <w:rPr>
                <w:rFonts w:ascii="Times New Roman" w:hAnsi="Times New Roman" w:cs="Times New Roman"/>
                <w:color w:val="auto"/>
                <w:sz w:val="24"/>
              </w:rPr>
              <w:t xml:space="preserve">rrest </w:t>
            </w:r>
          </w:p>
        </w:tc>
        <w:tc>
          <w:tcPr>
            <w:tcW w:w="3667" w:type="dxa"/>
          </w:tcPr>
          <w:p w14:paraId="477E266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32 or older </w:t>
            </w:r>
          </w:p>
        </w:tc>
        <w:tc>
          <w:tcPr>
            <w:tcW w:w="1977" w:type="dxa"/>
          </w:tcPr>
          <w:p w14:paraId="4D9327B6"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5C546937" w14:textId="77777777" w:rsidTr="006C1DF2">
        <w:tc>
          <w:tcPr>
            <w:tcW w:w="3666" w:type="dxa"/>
            <w:vMerge/>
          </w:tcPr>
          <w:p w14:paraId="132C253F"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1F9DA7A6"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Under 32</w:t>
            </w:r>
          </w:p>
        </w:tc>
        <w:tc>
          <w:tcPr>
            <w:tcW w:w="1977" w:type="dxa"/>
          </w:tcPr>
          <w:p w14:paraId="7E3542E6"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53F6A438" w14:textId="77777777" w:rsidTr="006C1DF2">
        <w:tc>
          <w:tcPr>
            <w:tcW w:w="3666" w:type="dxa"/>
            <w:vMerge w:val="restart"/>
          </w:tcPr>
          <w:p w14:paraId="2D553FF8" w14:textId="1005944D"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Number of </w:t>
            </w:r>
            <w:r w:rsidR="00BF7140">
              <w:rPr>
                <w:rFonts w:ascii="Times New Roman" w:hAnsi="Times New Roman" w:cs="Times New Roman"/>
                <w:color w:val="auto"/>
                <w:sz w:val="24"/>
              </w:rPr>
              <w:t>f</w:t>
            </w:r>
            <w:r w:rsidRPr="00C42107">
              <w:rPr>
                <w:rFonts w:ascii="Times New Roman" w:hAnsi="Times New Roman" w:cs="Times New Roman"/>
                <w:color w:val="auto"/>
                <w:sz w:val="24"/>
              </w:rPr>
              <w:t>ailure-to</w:t>
            </w:r>
            <w:r w:rsidR="00BF7140">
              <w:rPr>
                <w:rFonts w:ascii="Times New Roman" w:hAnsi="Times New Roman" w:cs="Times New Roman"/>
                <w:color w:val="auto"/>
                <w:sz w:val="24"/>
              </w:rPr>
              <w:t>-a</w:t>
            </w:r>
            <w:r w:rsidRPr="00C42107">
              <w:rPr>
                <w:rFonts w:ascii="Times New Roman" w:hAnsi="Times New Roman" w:cs="Times New Roman"/>
                <w:color w:val="auto"/>
                <w:sz w:val="24"/>
              </w:rPr>
              <w:t xml:space="preserve">ppear </w:t>
            </w:r>
            <w:r w:rsidR="00BF7140">
              <w:rPr>
                <w:rFonts w:ascii="Times New Roman" w:hAnsi="Times New Roman" w:cs="Times New Roman"/>
                <w:color w:val="auto"/>
                <w:sz w:val="24"/>
              </w:rPr>
              <w:t>w</w:t>
            </w:r>
            <w:r w:rsidRPr="00C42107">
              <w:rPr>
                <w:rFonts w:ascii="Times New Roman" w:hAnsi="Times New Roman" w:cs="Times New Roman"/>
                <w:color w:val="auto"/>
                <w:sz w:val="24"/>
              </w:rPr>
              <w:t xml:space="preserve">arrants </w:t>
            </w:r>
            <w:r w:rsidR="00BF7140">
              <w:rPr>
                <w:rFonts w:ascii="Times New Roman" w:hAnsi="Times New Roman" w:cs="Times New Roman"/>
                <w:color w:val="auto"/>
                <w:sz w:val="24"/>
              </w:rPr>
              <w:t>p</w:t>
            </w:r>
            <w:r w:rsidRPr="00C42107">
              <w:rPr>
                <w:rFonts w:ascii="Times New Roman" w:hAnsi="Times New Roman" w:cs="Times New Roman"/>
                <w:color w:val="auto"/>
                <w:sz w:val="24"/>
              </w:rPr>
              <w:t xml:space="preserve">ast 24 months </w:t>
            </w:r>
          </w:p>
        </w:tc>
        <w:tc>
          <w:tcPr>
            <w:tcW w:w="3667" w:type="dxa"/>
          </w:tcPr>
          <w:p w14:paraId="3A83D088"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 None</w:t>
            </w:r>
          </w:p>
        </w:tc>
        <w:tc>
          <w:tcPr>
            <w:tcW w:w="1977" w:type="dxa"/>
          </w:tcPr>
          <w:p w14:paraId="6DE3B729"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41DDF7E2" w14:textId="77777777" w:rsidTr="006C1DF2">
        <w:tc>
          <w:tcPr>
            <w:tcW w:w="3666" w:type="dxa"/>
            <w:vMerge/>
          </w:tcPr>
          <w:p w14:paraId="3806C9CB"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7778353A"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One warrant for FTA</w:t>
            </w:r>
          </w:p>
        </w:tc>
        <w:tc>
          <w:tcPr>
            <w:tcW w:w="1977" w:type="dxa"/>
          </w:tcPr>
          <w:p w14:paraId="599EF305"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5BA3FC1D" w14:textId="77777777" w:rsidTr="006C1DF2">
        <w:tc>
          <w:tcPr>
            <w:tcW w:w="3666" w:type="dxa"/>
            <w:vMerge/>
          </w:tcPr>
          <w:p w14:paraId="7B7B769C"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4A8232E3"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 Two or more FTA warrants </w:t>
            </w:r>
          </w:p>
        </w:tc>
        <w:tc>
          <w:tcPr>
            <w:tcW w:w="1977" w:type="dxa"/>
          </w:tcPr>
          <w:p w14:paraId="7FE6FDCF"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2</w:t>
            </w:r>
          </w:p>
        </w:tc>
      </w:tr>
      <w:tr w:rsidR="00C26AA1" w:rsidRPr="00C42107" w14:paraId="5207F6B8" w14:textId="77777777" w:rsidTr="006C1DF2">
        <w:tc>
          <w:tcPr>
            <w:tcW w:w="3666" w:type="dxa"/>
            <w:vMerge w:val="restart"/>
          </w:tcPr>
          <w:p w14:paraId="3D0BBF93"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Three or more prior jail incarcerations </w:t>
            </w:r>
          </w:p>
        </w:tc>
        <w:tc>
          <w:tcPr>
            <w:tcW w:w="3667" w:type="dxa"/>
          </w:tcPr>
          <w:p w14:paraId="06C1387B"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 No </w:t>
            </w:r>
          </w:p>
        </w:tc>
        <w:tc>
          <w:tcPr>
            <w:tcW w:w="1977" w:type="dxa"/>
          </w:tcPr>
          <w:p w14:paraId="3DA08480"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3CA13A0D" w14:textId="77777777" w:rsidTr="006C1DF2">
        <w:tc>
          <w:tcPr>
            <w:tcW w:w="3666" w:type="dxa"/>
            <w:vMerge/>
          </w:tcPr>
          <w:p w14:paraId="1690D0FB"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4CADE262"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 Yes </w:t>
            </w:r>
          </w:p>
        </w:tc>
        <w:tc>
          <w:tcPr>
            <w:tcW w:w="1977" w:type="dxa"/>
          </w:tcPr>
          <w:p w14:paraId="45D2A218"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62018C4D" w14:textId="77777777" w:rsidTr="006C1DF2">
        <w:tc>
          <w:tcPr>
            <w:tcW w:w="3666" w:type="dxa"/>
            <w:vMerge w:val="restart"/>
          </w:tcPr>
          <w:p w14:paraId="103CDB9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Employed at the time of the arrest</w:t>
            </w:r>
          </w:p>
        </w:tc>
        <w:tc>
          <w:tcPr>
            <w:tcW w:w="3667" w:type="dxa"/>
          </w:tcPr>
          <w:p w14:paraId="09C01129"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Yes, Full-time</w:t>
            </w:r>
          </w:p>
        </w:tc>
        <w:tc>
          <w:tcPr>
            <w:tcW w:w="1977" w:type="dxa"/>
          </w:tcPr>
          <w:p w14:paraId="285F1050"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152F9A0A" w14:textId="77777777" w:rsidTr="006C1DF2">
        <w:tc>
          <w:tcPr>
            <w:tcW w:w="3666" w:type="dxa"/>
            <w:vMerge/>
          </w:tcPr>
          <w:p w14:paraId="70704B7F"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1F0D4C10"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Yes, Part-time</w:t>
            </w:r>
          </w:p>
        </w:tc>
        <w:tc>
          <w:tcPr>
            <w:tcW w:w="1977" w:type="dxa"/>
          </w:tcPr>
          <w:p w14:paraId="5C2BBE47"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3D307F49" w14:textId="77777777" w:rsidTr="006C1DF2">
        <w:tc>
          <w:tcPr>
            <w:tcW w:w="3666" w:type="dxa"/>
            <w:vMerge/>
          </w:tcPr>
          <w:p w14:paraId="5E3528DA"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386D2E6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Not employed</w:t>
            </w:r>
          </w:p>
        </w:tc>
        <w:tc>
          <w:tcPr>
            <w:tcW w:w="1977" w:type="dxa"/>
          </w:tcPr>
          <w:p w14:paraId="4F990A64"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2</w:t>
            </w:r>
          </w:p>
        </w:tc>
      </w:tr>
      <w:tr w:rsidR="00C26AA1" w:rsidRPr="00C42107" w14:paraId="2DCFA2DC" w14:textId="77777777" w:rsidTr="006C1DF2">
        <w:tc>
          <w:tcPr>
            <w:tcW w:w="3666" w:type="dxa"/>
            <w:vMerge w:val="restart"/>
          </w:tcPr>
          <w:p w14:paraId="088FEF03" w14:textId="0C2D48AB"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Residential </w:t>
            </w:r>
            <w:r w:rsidR="00BF7140">
              <w:rPr>
                <w:rFonts w:ascii="Times New Roman" w:hAnsi="Times New Roman" w:cs="Times New Roman"/>
                <w:color w:val="auto"/>
                <w:sz w:val="24"/>
              </w:rPr>
              <w:t>s</w:t>
            </w:r>
            <w:r w:rsidRPr="00C42107">
              <w:rPr>
                <w:rFonts w:ascii="Times New Roman" w:hAnsi="Times New Roman" w:cs="Times New Roman"/>
                <w:color w:val="auto"/>
                <w:sz w:val="24"/>
              </w:rPr>
              <w:t>tability</w:t>
            </w:r>
          </w:p>
        </w:tc>
        <w:tc>
          <w:tcPr>
            <w:tcW w:w="3667" w:type="dxa"/>
          </w:tcPr>
          <w:p w14:paraId="14D0F140"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Lived at current residence past six months </w:t>
            </w:r>
          </w:p>
        </w:tc>
        <w:tc>
          <w:tcPr>
            <w:tcW w:w="1977" w:type="dxa"/>
          </w:tcPr>
          <w:p w14:paraId="2EC3EFB4"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5556E643" w14:textId="77777777" w:rsidTr="006C1DF2">
        <w:tc>
          <w:tcPr>
            <w:tcW w:w="3666" w:type="dxa"/>
            <w:vMerge/>
          </w:tcPr>
          <w:p w14:paraId="11A79CEE"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663C031E"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Not lived at the same residence </w:t>
            </w:r>
          </w:p>
        </w:tc>
        <w:tc>
          <w:tcPr>
            <w:tcW w:w="1977" w:type="dxa"/>
          </w:tcPr>
          <w:p w14:paraId="275079A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1912C9A2" w14:textId="77777777" w:rsidTr="006C1DF2">
        <w:tc>
          <w:tcPr>
            <w:tcW w:w="3666" w:type="dxa"/>
            <w:vMerge w:val="restart"/>
          </w:tcPr>
          <w:p w14:paraId="01CC6AD7"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Illegal drug use during the past six months </w:t>
            </w:r>
          </w:p>
        </w:tc>
        <w:tc>
          <w:tcPr>
            <w:tcW w:w="3667" w:type="dxa"/>
          </w:tcPr>
          <w:p w14:paraId="1A2B6D0F"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No</w:t>
            </w:r>
          </w:p>
        </w:tc>
        <w:tc>
          <w:tcPr>
            <w:tcW w:w="1977" w:type="dxa"/>
          </w:tcPr>
          <w:p w14:paraId="0F039FB6"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42D3DC89" w14:textId="77777777" w:rsidTr="006C1DF2">
        <w:tc>
          <w:tcPr>
            <w:tcW w:w="3666" w:type="dxa"/>
            <w:vMerge/>
          </w:tcPr>
          <w:p w14:paraId="00CE0E64"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7C0AD131"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Yes</w:t>
            </w:r>
          </w:p>
        </w:tc>
        <w:tc>
          <w:tcPr>
            <w:tcW w:w="1977" w:type="dxa"/>
          </w:tcPr>
          <w:p w14:paraId="46082DDA"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06B15FAB" w14:textId="77777777" w:rsidTr="006C1DF2">
        <w:tc>
          <w:tcPr>
            <w:tcW w:w="3666" w:type="dxa"/>
            <w:vMerge w:val="restart"/>
          </w:tcPr>
          <w:p w14:paraId="54C05387"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 xml:space="preserve">Severe drug use problem </w:t>
            </w:r>
          </w:p>
        </w:tc>
        <w:tc>
          <w:tcPr>
            <w:tcW w:w="3667" w:type="dxa"/>
          </w:tcPr>
          <w:p w14:paraId="71514120"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No</w:t>
            </w:r>
          </w:p>
        </w:tc>
        <w:tc>
          <w:tcPr>
            <w:tcW w:w="1977" w:type="dxa"/>
          </w:tcPr>
          <w:p w14:paraId="553C55B8"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w:t>
            </w:r>
          </w:p>
        </w:tc>
      </w:tr>
      <w:tr w:rsidR="00C26AA1" w:rsidRPr="00C42107" w14:paraId="19800C21" w14:textId="77777777" w:rsidTr="006C1DF2">
        <w:tc>
          <w:tcPr>
            <w:tcW w:w="3666" w:type="dxa"/>
            <w:vMerge/>
          </w:tcPr>
          <w:p w14:paraId="5DAFE535" w14:textId="77777777" w:rsidR="009672A8" w:rsidRPr="00C42107" w:rsidRDefault="009672A8" w:rsidP="006C1DF2">
            <w:pPr>
              <w:pStyle w:val="Content"/>
              <w:rPr>
                <w:rFonts w:ascii="Times New Roman" w:hAnsi="Times New Roman" w:cs="Times New Roman"/>
                <w:color w:val="auto"/>
                <w:sz w:val="24"/>
              </w:rPr>
            </w:pPr>
          </w:p>
        </w:tc>
        <w:tc>
          <w:tcPr>
            <w:tcW w:w="3667" w:type="dxa"/>
          </w:tcPr>
          <w:p w14:paraId="3FF90409"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Yes</w:t>
            </w:r>
          </w:p>
        </w:tc>
        <w:tc>
          <w:tcPr>
            <w:tcW w:w="1977" w:type="dxa"/>
          </w:tcPr>
          <w:p w14:paraId="4F1CA8AE"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1</w:t>
            </w:r>
          </w:p>
        </w:tc>
      </w:tr>
      <w:tr w:rsidR="00C26AA1" w:rsidRPr="00C42107" w14:paraId="4706B6F6" w14:textId="77777777" w:rsidTr="006C1DF2">
        <w:tc>
          <w:tcPr>
            <w:tcW w:w="3666" w:type="dxa"/>
            <w:shd w:val="clear" w:color="auto" w:fill="B4C6E7" w:themeFill="accent1" w:themeFillTint="66"/>
          </w:tcPr>
          <w:p w14:paraId="605E1D8F"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Point Range</w:t>
            </w:r>
          </w:p>
        </w:tc>
        <w:tc>
          <w:tcPr>
            <w:tcW w:w="3667" w:type="dxa"/>
            <w:shd w:val="clear" w:color="auto" w:fill="B4C6E7" w:themeFill="accent1" w:themeFillTint="66"/>
          </w:tcPr>
          <w:p w14:paraId="15A0F368" w14:textId="77777777" w:rsidR="009672A8" w:rsidRPr="00C42107" w:rsidRDefault="009672A8" w:rsidP="006C1DF2">
            <w:pPr>
              <w:pStyle w:val="Content"/>
              <w:rPr>
                <w:rFonts w:ascii="Times New Roman" w:hAnsi="Times New Roman" w:cs="Times New Roman"/>
                <w:color w:val="auto"/>
                <w:sz w:val="24"/>
              </w:rPr>
            </w:pPr>
          </w:p>
        </w:tc>
        <w:tc>
          <w:tcPr>
            <w:tcW w:w="1977" w:type="dxa"/>
            <w:shd w:val="clear" w:color="auto" w:fill="B4C6E7" w:themeFill="accent1" w:themeFillTint="66"/>
          </w:tcPr>
          <w:p w14:paraId="5AA6AB4E" w14:textId="77777777" w:rsidR="009672A8" w:rsidRPr="00C42107" w:rsidRDefault="00F17597" w:rsidP="006C1DF2">
            <w:pPr>
              <w:pStyle w:val="Content"/>
              <w:rPr>
                <w:rFonts w:ascii="Times New Roman" w:hAnsi="Times New Roman" w:cs="Times New Roman"/>
                <w:color w:val="auto"/>
                <w:sz w:val="24"/>
              </w:rPr>
            </w:pPr>
            <w:r w:rsidRPr="00C42107">
              <w:rPr>
                <w:rFonts w:ascii="Times New Roman" w:hAnsi="Times New Roman" w:cs="Times New Roman"/>
                <w:color w:val="auto"/>
                <w:sz w:val="24"/>
              </w:rPr>
              <w:t>0-9</w:t>
            </w:r>
          </w:p>
        </w:tc>
      </w:tr>
    </w:tbl>
    <w:p w14:paraId="1D9AD0AA" w14:textId="223416F5" w:rsidR="009672A8" w:rsidRPr="00C42107" w:rsidRDefault="009672A8" w:rsidP="009672A8">
      <w:pPr>
        <w:jc w:val="both"/>
        <w:rPr>
          <w:rFonts w:ascii="Times New Roman" w:hAnsi="Times New Roman" w:cs="Times New Roman"/>
          <w:sz w:val="24"/>
          <w:szCs w:val="24"/>
        </w:rPr>
      </w:pPr>
    </w:p>
    <w:p w14:paraId="2D7EE32C" w14:textId="43D3753B" w:rsidR="009672A8" w:rsidRPr="00C42107" w:rsidRDefault="009672A8" w:rsidP="00C5150D">
      <w:pPr>
        <w:pStyle w:val="Content"/>
        <w:rPr>
          <w:rFonts w:ascii="Times New Roman" w:hAnsi="Times New Roman" w:cs="Times New Roman"/>
          <w:b/>
          <w:bCs/>
          <w:color w:val="4472C4" w:themeColor="accent1"/>
          <w:sz w:val="24"/>
          <w:szCs w:val="24"/>
        </w:rPr>
      </w:pPr>
    </w:p>
    <w:tbl>
      <w:tblPr>
        <w:tblStyle w:val="GridTable4-Accent11"/>
        <w:tblpPr w:leftFromText="180" w:rightFromText="180" w:vertAnchor="text" w:horzAnchor="page" w:tblpX="1497" w:tblpY="-54"/>
        <w:tblW w:w="9805" w:type="dxa"/>
        <w:tblLook w:val="04A0" w:firstRow="1" w:lastRow="0" w:firstColumn="1" w:lastColumn="0" w:noHBand="0" w:noVBand="1"/>
      </w:tblPr>
      <w:tblGrid>
        <w:gridCol w:w="1550"/>
        <w:gridCol w:w="6666"/>
        <w:gridCol w:w="1589"/>
      </w:tblGrid>
      <w:tr w:rsidR="00E16028" w:rsidRPr="00F343BE" w14:paraId="6A8FE985" w14:textId="77777777" w:rsidTr="00E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7FBFA18" w14:textId="4553B95F" w:rsidR="00E16028" w:rsidRPr="00C42107" w:rsidRDefault="003402D5" w:rsidP="00EC14D6">
            <w:pPr>
              <w:pStyle w:val="Content"/>
              <w:rPr>
                <w:rFonts w:ascii="Times New Roman" w:hAnsi="Times New Roman" w:cs="Times New Roman"/>
                <w:b w:val="0"/>
                <w:bCs w:val="0"/>
                <w:color w:val="FFFFFF" w:themeColor="background1"/>
                <w:sz w:val="24"/>
              </w:rPr>
            </w:pPr>
            <w:r w:rsidRPr="00C42107">
              <w:rPr>
                <w:rFonts w:ascii="Times New Roman" w:hAnsi="Times New Roman" w:cs="Times New Roman"/>
                <w:b w:val="0"/>
                <w:bCs w:val="0"/>
                <w:color w:val="FFFFFF" w:themeColor="background1"/>
                <w:sz w:val="24"/>
              </w:rPr>
              <w:lastRenderedPageBreak/>
              <w:t>Requirement</w:t>
            </w:r>
            <w:r w:rsidR="00EC14D6" w:rsidRPr="00C42107">
              <w:rPr>
                <w:rFonts w:ascii="Times New Roman" w:hAnsi="Times New Roman" w:cs="Times New Roman"/>
                <w:b w:val="0"/>
                <w:bCs w:val="0"/>
                <w:color w:val="FFFFFF" w:themeColor="background1"/>
                <w:sz w:val="24"/>
              </w:rPr>
              <w:t xml:space="preserve"> </w:t>
            </w:r>
          </w:p>
        </w:tc>
        <w:tc>
          <w:tcPr>
            <w:tcW w:w="7394" w:type="dxa"/>
          </w:tcPr>
          <w:p w14:paraId="1CD40935" w14:textId="4B8DBF98" w:rsidR="00E16028" w:rsidRPr="00C42107" w:rsidRDefault="00E16028" w:rsidP="00EC14D6">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themeColor="background1"/>
                <w:sz w:val="24"/>
              </w:rPr>
            </w:pPr>
            <w:r w:rsidRPr="00C42107">
              <w:rPr>
                <w:rFonts w:ascii="Times New Roman" w:hAnsi="Times New Roman" w:cs="Times New Roman"/>
                <w:color w:val="FFFFFF" w:themeColor="background1"/>
                <w:sz w:val="24"/>
              </w:rPr>
              <w:t>Definitions by SB 36</w:t>
            </w:r>
          </w:p>
        </w:tc>
        <w:tc>
          <w:tcPr>
            <w:tcW w:w="1336" w:type="dxa"/>
          </w:tcPr>
          <w:p w14:paraId="0D720754" w14:textId="3F80A21E" w:rsidR="00E16028" w:rsidRPr="00C42107" w:rsidRDefault="003402D5" w:rsidP="00EC14D6">
            <w:pPr>
              <w:pStyle w:val="Conten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rPr>
            </w:pPr>
            <w:r w:rsidRPr="00C42107">
              <w:rPr>
                <w:rFonts w:ascii="Times New Roman" w:hAnsi="Times New Roman" w:cs="Times New Roman"/>
                <w:color w:val="FFFFFF" w:themeColor="background1"/>
                <w:sz w:val="24"/>
              </w:rPr>
              <w:t>Meets requirements</w:t>
            </w:r>
          </w:p>
        </w:tc>
      </w:tr>
      <w:tr w:rsidR="00E16028" w14:paraId="466AAC1E" w14:textId="77777777" w:rsidTr="00EC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A85C3DF" w14:textId="03BB70EE" w:rsidR="00E16028" w:rsidRPr="00C42107" w:rsidRDefault="00EC14D6" w:rsidP="00EC14D6">
            <w:pPr>
              <w:pStyle w:val="Content"/>
              <w:jc w:val="both"/>
              <w:rPr>
                <w:rFonts w:ascii="Times New Roman" w:hAnsi="Times New Roman" w:cs="Times New Roman"/>
                <w:b w:val="0"/>
                <w:bCs w:val="0"/>
                <w:color w:val="auto"/>
                <w:sz w:val="24"/>
              </w:rPr>
            </w:pPr>
            <w:r w:rsidRPr="00C42107">
              <w:rPr>
                <w:rFonts w:ascii="Times New Roman" w:hAnsi="Times New Roman" w:cs="Times New Roman"/>
                <w:b w:val="0"/>
                <w:bCs w:val="0"/>
                <w:color w:val="auto"/>
                <w:sz w:val="24"/>
              </w:rPr>
              <w:t xml:space="preserve">Pretrial Risk Assessment Tool </w:t>
            </w:r>
          </w:p>
        </w:tc>
        <w:tc>
          <w:tcPr>
            <w:tcW w:w="7394" w:type="dxa"/>
          </w:tcPr>
          <w:p w14:paraId="2CB6B88E" w14:textId="77777777" w:rsidR="002C0DD0" w:rsidRPr="00C42107" w:rsidRDefault="00D56162"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(P</w:t>
            </w:r>
            <w:r w:rsidR="00E16028" w:rsidRPr="00C42107">
              <w:rPr>
                <w:rFonts w:ascii="Times New Roman" w:hAnsi="Times New Roman" w:cs="Times New Roman"/>
                <w:color w:val="auto"/>
                <w:sz w:val="24"/>
              </w:rPr>
              <w:t xml:space="preserve">enal </w:t>
            </w:r>
            <w:r w:rsidRPr="00C42107">
              <w:rPr>
                <w:rFonts w:ascii="Times New Roman" w:hAnsi="Times New Roman" w:cs="Times New Roman"/>
                <w:color w:val="auto"/>
                <w:sz w:val="24"/>
              </w:rPr>
              <w:t>C</w:t>
            </w:r>
            <w:r w:rsidR="00E16028" w:rsidRPr="00C42107">
              <w:rPr>
                <w:rFonts w:ascii="Times New Roman" w:hAnsi="Times New Roman" w:cs="Times New Roman"/>
                <w:color w:val="auto"/>
                <w:sz w:val="24"/>
              </w:rPr>
              <w:t xml:space="preserve">ode section 1320.35(b)(1)) </w:t>
            </w:r>
          </w:p>
          <w:p w14:paraId="2DFE8283" w14:textId="5BC2114C" w:rsidR="00E16028" w:rsidRPr="00C42107" w:rsidRDefault="00513755"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A</w:t>
            </w:r>
            <w:r w:rsidR="00E16028" w:rsidRPr="00C42107">
              <w:rPr>
                <w:rFonts w:ascii="Times New Roman" w:hAnsi="Times New Roman" w:cs="Times New Roman"/>
                <w:color w:val="auto"/>
                <w:sz w:val="24"/>
              </w:rPr>
              <w:t xml:space="preserve"> “pretrial risk assessment tool” is defined as an instrument used to determine the risks associated with individuals in the pretrial context.</w:t>
            </w:r>
          </w:p>
        </w:tc>
        <w:tc>
          <w:tcPr>
            <w:tcW w:w="1336" w:type="dxa"/>
          </w:tcPr>
          <w:p w14:paraId="6C641CCE" w14:textId="77777777" w:rsidR="00AB5344" w:rsidRPr="00C42107" w:rsidRDefault="00AB5344" w:rsidP="00AB5344">
            <w:pPr>
              <w:pStyle w:val="Conten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17E1A459" w14:textId="6204C771" w:rsidR="00E16028" w:rsidRPr="00C42107" w:rsidRDefault="00AB5344" w:rsidP="00AB5344">
            <w:pPr>
              <w:pStyle w:val="Conten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Segoe UI Emoji" w:hAnsi="Segoe UI Emoji" w:cs="Segoe UI Emoji"/>
                <w:color w:val="auto"/>
                <w:sz w:val="24"/>
              </w:rPr>
              <w:t>✅</w:t>
            </w:r>
          </w:p>
        </w:tc>
      </w:tr>
      <w:tr w:rsidR="00E16028" w14:paraId="3D18DF5F" w14:textId="77777777" w:rsidTr="00EC14D6">
        <w:tc>
          <w:tcPr>
            <w:cnfStyle w:val="001000000000" w:firstRow="0" w:lastRow="0" w:firstColumn="1" w:lastColumn="0" w:oddVBand="0" w:evenVBand="0" w:oddHBand="0" w:evenHBand="0" w:firstRowFirstColumn="0" w:firstRowLastColumn="0" w:lastRowFirstColumn="0" w:lastRowLastColumn="0"/>
            <w:tcW w:w="1075" w:type="dxa"/>
          </w:tcPr>
          <w:p w14:paraId="38E996BF" w14:textId="18307ABB" w:rsidR="00E16028" w:rsidRPr="00C42107" w:rsidRDefault="003402D5" w:rsidP="00EC14D6">
            <w:pPr>
              <w:pStyle w:val="Content"/>
              <w:jc w:val="both"/>
              <w:rPr>
                <w:rFonts w:ascii="Times New Roman" w:hAnsi="Times New Roman" w:cs="Times New Roman"/>
                <w:b w:val="0"/>
                <w:bCs w:val="0"/>
                <w:color w:val="auto"/>
                <w:sz w:val="24"/>
              </w:rPr>
            </w:pPr>
            <w:r w:rsidRPr="00C42107">
              <w:rPr>
                <w:rFonts w:ascii="Times New Roman" w:hAnsi="Times New Roman" w:cs="Times New Roman"/>
                <w:b w:val="0"/>
                <w:bCs w:val="0"/>
                <w:color w:val="auto"/>
                <w:sz w:val="24"/>
              </w:rPr>
              <w:t xml:space="preserve">Pretrial Services Agency Definition </w:t>
            </w:r>
          </w:p>
        </w:tc>
        <w:tc>
          <w:tcPr>
            <w:tcW w:w="7394" w:type="dxa"/>
          </w:tcPr>
          <w:p w14:paraId="0F36B4D0" w14:textId="77777777" w:rsidR="00513755" w:rsidRPr="00C42107" w:rsidRDefault="00E16028" w:rsidP="00EC14D6">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w:t>
            </w:r>
            <w:r w:rsidR="00D56162" w:rsidRPr="00C42107">
              <w:rPr>
                <w:rFonts w:ascii="Times New Roman" w:hAnsi="Times New Roman" w:cs="Times New Roman"/>
                <w:color w:val="auto"/>
                <w:sz w:val="24"/>
              </w:rPr>
              <w:t>P</w:t>
            </w:r>
            <w:r w:rsidRPr="00C42107">
              <w:rPr>
                <w:rFonts w:ascii="Times New Roman" w:hAnsi="Times New Roman" w:cs="Times New Roman"/>
                <w:color w:val="auto"/>
                <w:sz w:val="24"/>
              </w:rPr>
              <w:t xml:space="preserve">enal </w:t>
            </w:r>
            <w:r w:rsidR="00D56162" w:rsidRPr="00C42107">
              <w:rPr>
                <w:rFonts w:ascii="Times New Roman" w:hAnsi="Times New Roman" w:cs="Times New Roman"/>
                <w:color w:val="auto"/>
                <w:sz w:val="24"/>
              </w:rPr>
              <w:t>C</w:t>
            </w:r>
            <w:r w:rsidRPr="00C42107">
              <w:rPr>
                <w:rFonts w:ascii="Times New Roman" w:hAnsi="Times New Roman" w:cs="Times New Roman"/>
                <w:color w:val="auto"/>
                <w:sz w:val="24"/>
              </w:rPr>
              <w:t xml:space="preserve">ode section 1320.35(b)(2)) </w:t>
            </w:r>
          </w:p>
          <w:p w14:paraId="0559E72C" w14:textId="6D8E297A" w:rsidR="00E16028" w:rsidRPr="00C42107" w:rsidRDefault="00513755" w:rsidP="00EC14D6">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A P</w:t>
            </w:r>
            <w:r w:rsidR="00E16028" w:rsidRPr="00C42107">
              <w:rPr>
                <w:rFonts w:ascii="Times New Roman" w:hAnsi="Times New Roman" w:cs="Times New Roman"/>
                <w:color w:val="auto"/>
                <w:sz w:val="24"/>
              </w:rPr>
              <w:t xml:space="preserve">retrial </w:t>
            </w:r>
            <w:r w:rsidRPr="00C42107">
              <w:rPr>
                <w:rFonts w:ascii="Times New Roman" w:hAnsi="Times New Roman" w:cs="Times New Roman"/>
                <w:color w:val="auto"/>
                <w:sz w:val="24"/>
              </w:rPr>
              <w:t>S</w:t>
            </w:r>
            <w:r w:rsidR="00E16028" w:rsidRPr="00C42107">
              <w:rPr>
                <w:rFonts w:ascii="Times New Roman" w:hAnsi="Times New Roman" w:cs="Times New Roman"/>
                <w:color w:val="auto"/>
                <w:sz w:val="24"/>
              </w:rPr>
              <w:t xml:space="preserve">ervices </w:t>
            </w:r>
            <w:r w:rsidRPr="00C42107">
              <w:rPr>
                <w:rFonts w:ascii="Times New Roman" w:hAnsi="Times New Roman" w:cs="Times New Roman"/>
                <w:color w:val="auto"/>
                <w:sz w:val="24"/>
              </w:rPr>
              <w:t>A</w:t>
            </w:r>
            <w:r w:rsidR="00E16028" w:rsidRPr="00C42107">
              <w:rPr>
                <w:rFonts w:ascii="Times New Roman" w:hAnsi="Times New Roman" w:cs="Times New Roman"/>
                <w:color w:val="auto"/>
                <w:sz w:val="24"/>
              </w:rPr>
              <w:t xml:space="preserve">gency is defined as a local public agency that elects to perform pretrial risk assessments on individuals and provides the assessment information to a court. </w:t>
            </w:r>
          </w:p>
        </w:tc>
        <w:tc>
          <w:tcPr>
            <w:tcW w:w="1336" w:type="dxa"/>
          </w:tcPr>
          <w:p w14:paraId="65064884" w14:textId="1B784C54" w:rsidR="00E16028" w:rsidRPr="00C42107" w:rsidRDefault="00D56162" w:rsidP="00EC14D6">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Solano County Probation Agency </w:t>
            </w:r>
          </w:p>
        </w:tc>
      </w:tr>
      <w:tr w:rsidR="00E16028" w14:paraId="717AFF09" w14:textId="77777777" w:rsidTr="00B6512F">
        <w:trPr>
          <w:cnfStyle w:val="000000100000" w:firstRow="0" w:lastRow="0" w:firstColumn="0" w:lastColumn="0" w:oddVBand="0" w:evenVBand="0" w:oddHBand="1" w:evenHBand="0" w:firstRowFirstColumn="0" w:firstRowLastColumn="0" w:lastRowFirstColumn="0" w:lastRowLastColumn="0"/>
          <w:trHeight w:val="3625"/>
        </w:trPr>
        <w:tc>
          <w:tcPr>
            <w:cnfStyle w:val="001000000000" w:firstRow="0" w:lastRow="0" w:firstColumn="1" w:lastColumn="0" w:oddVBand="0" w:evenVBand="0" w:oddHBand="0" w:evenHBand="0" w:firstRowFirstColumn="0" w:firstRowLastColumn="0" w:lastRowFirstColumn="0" w:lastRowLastColumn="0"/>
            <w:tcW w:w="1075" w:type="dxa"/>
          </w:tcPr>
          <w:p w14:paraId="0D9C8EBE" w14:textId="2F979C2B" w:rsidR="00E16028" w:rsidRPr="00C42107" w:rsidRDefault="00D56162" w:rsidP="00EC14D6">
            <w:pPr>
              <w:pStyle w:val="Content"/>
              <w:jc w:val="both"/>
              <w:rPr>
                <w:rFonts w:ascii="Times New Roman" w:hAnsi="Times New Roman" w:cs="Times New Roman"/>
                <w:b w:val="0"/>
                <w:bCs w:val="0"/>
                <w:color w:val="auto"/>
                <w:sz w:val="24"/>
              </w:rPr>
            </w:pPr>
            <w:r w:rsidRPr="00C42107">
              <w:rPr>
                <w:rFonts w:ascii="Times New Roman" w:hAnsi="Times New Roman" w:cs="Times New Roman"/>
                <w:b w:val="0"/>
                <w:bCs w:val="0"/>
                <w:color w:val="auto"/>
                <w:sz w:val="24"/>
              </w:rPr>
              <w:t xml:space="preserve">Validation Definition </w:t>
            </w:r>
          </w:p>
        </w:tc>
        <w:tc>
          <w:tcPr>
            <w:tcW w:w="7394" w:type="dxa"/>
          </w:tcPr>
          <w:p w14:paraId="66673A8D" w14:textId="7D8CC40B" w:rsidR="00E16028" w:rsidRPr="00C42107" w:rsidRDefault="00D56162"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(Penal Code </w:t>
            </w:r>
            <w:r w:rsidR="00B6512F" w:rsidRPr="00C42107">
              <w:rPr>
                <w:rFonts w:ascii="Times New Roman" w:hAnsi="Times New Roman" w:cs="Times New Roman"/>
                <w:color w:val="auto"/>
                <w:sz w:val="24"/>
              </w:rPr>
              <w:t>section 1320.35(b)(4))</w:t>
            </w:r>
          </w:p>
          <w:p w14:paraId="213E330D" w14:textId="4A1CD3BB" w:rsidR="00B6512F" w:rsidRPr="00C42107" w:rsidRDefault="00B6512F" w:rsidP="00B6512F">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Validate is defined as using scientifically accepted methods to measure both of the following:</w:t>
            </w:r>
          </w:p>
          <w:p w14:paraId="6A394EEA" w14:textId="77777777" w:rsidR="00B6512F" w:rsidRPr="00C42107" w:rsidRDefault="00B6512F" w:rsidP="00B6512F">
            <w:pPr>
              <w:pStyle w:val="Content"/>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The accuracy and reliability of the risk assessment tool in assessing (a) the risk that an assessed person will fail to appear in court as required and (b) the risk to public safety due to the commission of a new criminal offense if the person is released before the adjudication of the current criminal offense for which they have been charged. </w:t>
            </w:r>
          </w:p>
          <w:p w14:paraId="7E3E1D2B" w14:textId="4EF3869F" w:rsidR="00B6512F" w:rsidRPr="00C42107" w:rsidRDefault="00B6512F" w:rsidP="00B6512F">
            <w:pPr>
              <w:pStyle w:val="Content"/>
              <w:numPr>
                <w:ilvl w:val="0"/>
                <w:numId w:val="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Any disparate effect or bias in the risk assessment tool based on gender, race, or ethnicity. </w:t>
            </w:r>
          </w:p>
        </w:tc>
        <w:tc>
          <w:tcPr>
            <w:tcW w:w="1336" w:type="dxa"/>
          </w:tcPr>
          <w:p w14:paraId="486B3927"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42F8CFDD"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06D32481"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2FF1FCC6" w14:textId="5E4B38E9" w:rsidR="00E16028" w:rsidRPr="00C42107" w:rsidRDefault="00AB5344" w:rsidP="00AB5344">
            <w:pPr>
              <w:pStyle w:val="Conten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Segoe UI Emoji" w:hAnsi="Segoe UI Emoji" w:cs="Segoe UI Emoji"/>
                <w:color w:val="auto"/>
                <w:sz w:val="24"/>
              </w:rPr>
              <w:t>✅</w:t>
            </w:r>
          </w:p>
        </w:tc>
      </w:tr>
      <w:tr w:rsidR="00E16028" w14:paraId="5C4F29C1" w14:textId="77777777" w:rsidTr="00EC14D6">
        <w:tc>
          <w:tcPr>
            <w:cnfStyle w:val="001000000000" w:firstRow="0" w:lastRow="0" w:firstColumn="1" w:lastColumn="0" w:oddVBand="0" w:evenVBand="0" w:oddHBand="0" w:evenHBand="0" w:firstRowFirstColumn="0" w:firstRowLastColumn="0" w:lastRowFirstColumn="0" w:lastRowLastColumn="0"/>
            <w:tcW w:w="1075" w:type="dxa"/>
          </w:tcPr>
          <w:p w14:paraId="0857F7E2" w14:textId="54D799EA" w:rsidR="00E16028" w:rsidRPr="00C42107" w:rsidRDefault="00DF26E9" w:rsidP="00EC14D6">
            <w:pPr>
              <w:pStyle w:val="Content"/>
              <w:jc w:val="both"/>
              <w:rPr>
                <w:rFonts w:ascii="Times New Roman" w:hAnsi="Times New Roman" w:cs="Times New Roman"/>
                <w:b w:val="0"/>
                <w:bCs w:val="0"/>
                <w:color w:val="auto"/>
                <w:sz w:val="24"/>
              </w:rPr>
            </w:pPr>
            <w:r w:rsidRPr="00C42107">
              <w:rPr>
                <w:rFonts w:ascii="Times New Roman" w:hAnsi="Times New Roman" w:cs="Times New Roman"/>
                <w:b w:val="0"/>
                <w:bCs w:val="0"/>
                <w:color w:val="auto"/>
                <w:sz w:val="24"/>
              </w:rPr>
              <w:t>V</w:t>
            </w:r>
            <w:r w:rsidR="00B6512F" w:rsidRPr="00C42107">
              <w:rPr>
                <w:rFonts w:ascii="Times New Roman" w:hAnsi="Times New Roman" w:cs="Times New Roman"/>
                <w:b w:val="0"/>
                <w:bCs w:val="0"/>
                <w:color w:val="auto"/>
                <w:sz w:val="24"/>
              </w:rPr>
              <w:t>alidation data</w:t>
            </w:r>
          </w:p>
        </w:tc>
        <w:tc>
          <w:tcPr>
            <w:tcW w:w="7394" w:type="dxa"/>
          </w:tcPr>
          <w:p w14:paraId="32FEE2E8" w14:textId="77777777" w:rsidR="00DF26E9" w:rsidRPr="00C42107" w:rsidRDefault="00B6512F" w:rsidP="00B6512F">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 (Penal Code section 1320.35(c)(2)) </w:t>
            </w:r>
          </w:p>
          <w:p w14:paraId="1696E493" w14:textId="47B9439C" w:rsidR="00E16028" w:rsidRPr="00C42107" w:rsidRDefault="00DF26E9" w:rsidP="00DF26E9">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A</w:t>
            </w:r>
            <w:r w:rsidR="00B6512F" w:rsidRPr="00C42107">
              <w:rPr>
                <w:rFonts w:ascii="Times New Roman" w:hAnsi="Times New Roman" w:cs="Times New Roman"/>
                <w:color w:val="auto"/>
                <w:sz w:val="24"/>
              </w:rPr>
              <w:t xml:space="preserve"> pretrial risk assessment tool shall be validated using the most recent data collected by the pretrial services agency within its jurisdictions</w:t>
            </w:r>
          </w:p>
        </w:tc>
        <w:tc>
          <w:tcPr>
            <w:tcW w:w="1336" w:type="dxa"/>
          </w:tcPr>
          <w:p w14:paraId="35CB88E3" w14:textId="33A5B0CA" w:rsidR="00E16028" w:rsidRPr="00C42107" w:rsidRDefault="002C0DD0" w:rsidP="00EC14D6">
            <w:pPr>
              <w:pStyle w:val="Conten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2019 &amp; 2020 Data </w:t>
            </w:r>
            <w:r w:rsidR="00513755" w:rsidRPr="00C42107">
              <w:rPr>
                <w:rFonts w:ascii="Times New Roman" w:hAnsi="Times New Roman" w:cs="Times New Roman"/>
                <w:color w:val="auto"/>
                <w:sz w:val="24"/>
              </w:rPr>
              <w:t xml:space="preserve">collected </w:t>
            </w:r>
          </w:p>
        </w:tc>
      </w:tr>
      <w:tr w:rsidR="00E16028" w14:paraId="445D2DDF" w14:textId="77777777" w:rsidTr="00EC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96B980F" w14:textId="2F474F6F" w:rsidR="00E16028" w:rsidRPr="00C42107" w:rsidRDefault="00BD35E3" w:rsidP="00EC14D6">
            <w:pPr>
              <w:pStyle w:val="Content"/>
              <w:jc w:val="both"/>
              <w:rPr>
                <w:rFonts w:ascii="Times New Roman" w:hAnsi="Times New Roman" w:cs="Times New Roman"/>
                <w:b w:val="0"/>
                <w:bCs w:val="0"/>
                <w:color w:val="auto"/>
                <w:sz w:val="24"/>
              </w:rPr>
            </w:pPr>
            <w:r w:rsidRPr="00C42107">
              <w:rPr>
                <w:rFonts w:ascii="Times New Roman" w:hAnsi="Times New Roman" w:cs="Times New Roman"/>
                <w:b w:val="0"/>
                <w:bCs w:val="0"/>
                <w:color w:val="auto"/>
                <w:sz w:val="24"/>
              </w:rPr>
              <w:t xml:space="preserve">Transparency </w:t>
            </w:r>
            <w:r w:rsidR="00F84A1E" w:rsidRPr="00C42107">
              <w:rPr>
                <w:rFonts w:ascii="Times New Roman" w:hAnsi="Times New Roman" w:cs="Times New Roman"/>
                <w:b w:val="0"/>
                <w:bCs w:val="0"/>
                <w:color w:val="auto"/>
                <w:sz w:val="24"/>
              </w:rPr>
              <w:t>Requirements</w:t>
            </w:r>
          </w:p>
        </w:tc>
        <w:tc>
          <w:tcPr>
            <w:tcW w:w="7394" w:type="dxa"/>
          </w:tcPr>
          <w:p w14:paraId="7B8360F7" w14:textId="77777777" w:rsidR="00DF26E9" w:rsidRPr="00C42107" w:rsidRDefault="00DF26E9" w:rsidP="00DF26E9">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(Penal Code Section 1320.35(d))</w:t>
            </w:r>
          </w:p>
          <w:p w14:paraId="7A2BDDEF" w14:textId="77777777" w:rsidR="00DF26E9" w:rsidRPr="00C42107" w:rsidRDefault="00DF26E9" w:rsidP="00DF26E9">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A pretrial services agency shall make the following information publicly available:</w:t>
            </w:r>
          </w:p>
          <w:p w14:paraId="49E88077" w14:textId="77777777" w:rsidR="00DF26E9" w:rsidRPr="00C42107" w:rsidRDefault="00DF26E9" w:rsidP="00DF26E9">
            <w:pPr>
              <w:pStyle w:val="Content"/>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Line items, scoring, weighting, and details on how each line item is scored for each pretrial risk assessment tool that the agency uses. </w:t>
            </w:r>
          </w:p>
          <w:p w14:paraId="6401C147" w14:textId="5342EF70" w:rsidR="00E16028" w:rsidRPr="00C42107" w:rsidRDefault="00DF26E9" w:rsidP="00DF26E9">
            <w:pPr>
              <w:pStyle w:val="Content"/>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Times New Roman" w:hAnsi="Times New Roman" w:cs="Times New Roman"/>
                <w:color w:val="auto"/>
                <w:sz w:val="24"/>
              </w:rPr>
              <w:t xml:space="preserve">Validation studies for each pretrial risk assessment tool that the agency uses. </w:t>
            </w:r>
          </w:p>
        </w:tc>
        <w:tc>
          <w:tcPr>
            <w:tcW w:w="1336" w:type="dxa"/>
          </w:tcPr>
          <w:p w14:paraId="11A72FB9"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52BE5ACA"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08990E5A" w14:textId="77777777" w:rsidR="00AB5344" w:rsidRPr="00C42107" w:rsidRDefault="00AB5344" w:rsidP="00EC14D6">
            <w:pPr>
              <w:pStyle w:val="Conten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p>
          <w:p w14:paraId="3260BDC6" w14:textId="6BADE0E1" w:rsidR="00E16028" w:rsidRPr="00C42107" w:rsidRDefault="00AB5344" w:rsidP="00AB5344">
            <w:pPr>
              <w:pStyle w:val="Conten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rPr>
            </w:pPr>
            <w:r w:rsidRPr="00C42107">
              <w:rPr>
                <w:rFonts w:ascii="Segoe UI Emoji" w:hAnsi="Segoe UI Emoji" w:cs="Segoe UI Emoji"/>
                <w:color w:val="auto"/>
                <w:sz w:val="24"/>
              </w:rPr>
              <w:t>✅</w:t>
            </w:r>
          </w:p>
        </w:tc>
      </w:tr>
    </w:tbl>
    <w:p w14:paraId="67C8FA01" w14:textId="137C1052" w:rsidR="00BD0B16" w:rsidRDefault="00BD0B16" w:rsidP="009672A8">
      <w:pPr>
        <w:pStyle w:val="Content"/>
        <w:rPr>
          <w:rFonts w:ascii="Times New Roman" w:eastAsia="MS Mincho" w:hAnsi="Times New Roman" w:cs="Times New Roman"/>
          <w:b/>
          <w:bCs/>
          <w:color w:val="4472C4" w:themeColor="accent1"/>
        </w:rPr>
      </w:pPr>
    </w:p>
    <w:p w14:paraId="198AC3AD" w14:textId="7B818BED" w:rsidR="00C5150D" w:rsidRDefault="00C5150D" w:rsidP="009672A8">
      <w:pPr>
        <w:pStyle w:val="Content"/>
        <w:rPr>
          <w:rFonts w:ascii="Times New Roman" w:eastAsia="MS Mincho" w:hAnsi="Times New Roman" w:cs="Times New Roman"/>
          <w:b/>
          <w:bCs/>
          <w:color w:val="4472C4" w:themeColor="accent1"/>
        </w:rPr>
      </w:pPr>
    </w:p>
    <w:p w14:paraId="33E1F943" w14:textId="29077DE1" w:rsidR="00C5150D" w:rsidRDefault="00C5150D" w:rsidP="009672A8">
      <w:pPr>
        <w:pStyle w:val="Content"/>
        <w:rPr>
          <w:rFonts w:ascii="Times New Roman" w:eastAsia="MS Mincho" w:hAnsi="Times New Roman" w:cs="Times New Roman"/>
          <w:b/>
          <w:bCs/>
          <w:color w:val="4472C4" w:themeColor="accent1"/>
        </w:rPr>
      </w:pPr>
    </w:p>
    <w:p w14:paraId="1F74EB25" w14:textId="636DAC14" w:rsidR="00614283" w:rsidRDefault="00614283" w:rsidP="009672A8">
      <w:pPr>
        <w:pStyle w:val="Content"/>
        <w:rPr>
          <w:rFonts w:ascii="Times New Roman" w:eastAsia="MS Mincho" w:hAnsi="Times New Roman" w:cs="Times New Roman"/>
          <w:b/>
          <w:bCs/>
          <w:color w:val="4472C4" w:themeColor="accent1"/>
        </w:rPr>
      </w:pPr>
    </w:p>
    <w:p w14:paraId="016F599B" w14:textId="27CD36B9" w:rsidR="00614283" w:rsidRDefault="00614283" w:rsidP="009672A8">
      <w:pPr>
        <w:pStyle w:val="Content"/>
        <w:rPr>
          <w:rFonts w:ascii="Times New Roman" w:eastAsia="MS Mincho" w:hAnsi="Times New Roman" w:cs="Times New Roman"/>
          <w:b/>
          <w:bCs/>
          <w:color w:val="4472C4" w:themeColor="accent1"/>
        </w:rPr>
      </w:pPr>
    </w:p>
    <w:p w14:paraId="06B91F85" w14:textId="77777777" w:rsidR="00614283" w:rsidRDefault="00614283" w:rsidP="009672A8">
      <w:pPr>
        <w:pStyle w:val="Content"/>
        <w:rPr>
          <w:rFonts w:ascii="Times New Roman" w:eastAsia="MS Mincho" w:hAnsi="Times New Roman" w:cs="Times New Roman"/>
          <w:b/>
          <w:bCs/>
          <w:color w:val="4472C4" w:themeColor="accent1"/>
        </w:rPr>
      </w:pPr>
    </w:p>
    <w:p w14:paraId="3BEC6511" w14:textId="77777777" w:rsidR="004C017D" w:rsidRDefault="004C017D" w:rsidP="00FD11FE">
      <w:pPr>
        <w:jc w:val="center"/>
        <w:rPr>
          <w:rFonts w:ascii="Times New Roman" w:hAnsi="Times New Roman" w:cs="Times New Roman"/>
          <w:b/>
          <w:bCs/>
          <w:color w:val="4472C4" w:themeColor="accent1"/>
          <w:sz w:val="40"/>
          <w:szCs w:val="40"/>
        </w:rPr>
      </w:pPr>
    </w:p>
    <w:p w14:paraId="260730DC" w14:textId="77777777" w:rsidR="004C017D" w:rsidRDefault="004C017D" w:rsidP="00FD11FE">
      <w:pPr>
        <w:jc w:val="center"/>
        <w:rPr>
          <w:rFonts w:ascii="Times New Roman" w:hAnsi="Times New Roman" w:cs="Times New Roman"/>
          <w:b/>
          <w:bCs/>
          <w:color w:val="4472C4" w:themeColor="accent1"/>
          <w:sz w:val="40"/>
          <w:szCs w:val="40"/>
        </w:rPr>
      </w:pPr>
    </w:p>
    <w:p w14:paraId="415FADB8" w14:textId="77777777" w:rsidR="004C017D" w:rsidRDefault="004C017D" w:rsidP="00FD11FE">
      <w:pPr>
        <w:jc w:val="center"/>
        <w:rPr>
          <w:rFonts w:ascii="Times New Roman" w:hAnsi="Times New Roman" w:cs="Times New Roman"/>
          <w:b/>
          <w:bCs/>
          <w:color w:val="4472C4" w:themeColor="accent1"/>
          <w:sz w:val="40"/>
          <w:szCs w:val="40"/>
        </w:rPr>
      </w:pPr>
    </w:p>
    <w:p w14:paraId="0390926C" w14:textId="77777777" w:rsidR="004C017D" w:rsidRDefault="004C017D" w:rsidP="00FD11FE">
      <w:pPr>
        <w:jc w:val="center"/>
        <w:rPr>
          <w:rFonts w:ascii="Times New Roman" w:hAnsi="Times New Roman" w:cs="Times New Roman"/>
          <w:b/>
          <w:bCs/>
          <w:color w:val="4472C4" w:themeColor="accent1"/>
          <w:sz w:val="40"/>
          <w:szCs w:val="40"/>
        </w:rPr>
      </w:pPr>
    </w:p>
    <w:p w14:paraId="337C1F6E" w14:textId="77777777" w:rsidR="004C017D" w:rsidRDefault="004C017D" w:rsidP="00FD11FE">
      <w:pPr>
        <w:jc w:val="center"/>
        <w:rPr>
          <w:rFonts w:ascii="Times New Roman" w:hAnsi="Times New Roman" w:cs="Times New Roman"/>
          <w:b/>
          <w:bCs/>
          <w:color w:val="4472C4" w:themeColor="accent1"/>
          <w:sz w:val="40"/>
          <w:szCs w:val="40"/>
        </w:rPr>
      </w:pPr>
    </w:p>
    <w:p w14:paraId="7DCED8E7" w14:textId="77777777" w:rsidR="004C017D" w:rsidRDefault="004C017D" w:rsidP="00FD11FE">
      <w:pPr>
        <w:jc w:val="center"/>
        <w:rPr>
          <w:rFonts w:ascii="Times New Roman" w:hAnsi="Times New Roman" w:cs="Times New Roman"/>
          <w:b/>
          <w:bCs/>
          <w:color w:val="4472C4" w:themeColor="accent1"/>
          <w:sz w:val="40"/>
          <w:szCs w:val="40"/>
        </w:rPr>
      </w:pPr>
    </w:p>
    <w:p w14:paraId="13C370A1" w14:textId="4FBF0D1B" w:rsidR="004C017D" w:rsidRPr="00E61F97" w:rsidRDefault="004C017D" w:rsidP="004C017D">
      <w:pPr>
        <w:jc w:val="center"/>
        <w:rPr>
          <w:rFonts w:ascii="Times New Roman" w:hAnsi="Times New Roman" w:cs="Times New Roman"/>
          <w:color w:val="4472C4" w:themeColor="accent1"/>
          <w:sz w:val="72"/>
          <w:szCs w:val="72"/>
        </w:rPr>
      </w:pPr>
      <w:r w:rsidRPr="00E61F97">
        <w:rPr>
          <w:rFonts w:ascii="Times New Roman" w:hAnsi="Times New Roman" w:cs="Times New Roman"/>
          <w:color w:val="4472C4" w:themeColor="accent1"/>
          <w:sz w:val="72"/>
          <w:szCs w:val="72"/>
        </w:rPr>
        <w:t>PART I</w:t>
      </w:r>
    </w:p>
    <w:p w14:paraId="4BC49619" w14:textId="670A4D89" w:rsidR="004C017D" w:rsidRPr="00E61F97" w:rsidRDefault="004C017D" w:rsidP="004C017D">
      <w:pPr>
        <w:jc w:val="center"/>
        <w:rPr>
          <w:rFonts w:ascii="Times New Roman" w:hAnsi="Times New Roman" w:cs="Times New Roman"/>
          <w:color w:val="4472C4" w:themeColor="accent1"/>
          <w:sz w:val="72"/>
          <w:szCs w:val="72"/>
        </w:rPr>
      </w:pPr>
      <w:r w:rsidRPr="00E61F97">
        <w:rPr>
          <w:rFonts w:ascii="Times New Roman" w:eastAsiaTheme="majorEastAsia" w:hAnsi="Times New Roman" w:cs="Times New Roman"/>
          <w:caps/>
          <w:color w:val="4472C4" w:themeColor="accent1"/>
          <w:sz w:val="72"/>
          <w:szCs w:val="72"/>
        </w:rPr>
        <w:t xml:space="preserve">Pretrial </w:t>
      </w:r>
      <w:r>
        <w:rPr>
          <w:rFonts w:ascii="Times New Roman" w:eastAsiaTheme="majorEastAsia" w:hAnsi="Times New Roman" w:cs="Times New Roman"/>
          <w:caps/>
          <w:color w:val="4472C4" w:themeColor="accent1"/>
          <w:sz w:val="72"/>
          <w:szCs w:val="72"/>
        </w:rPr>
        <w:t>Demographics</w:t>
      </w:r>
    </w:p>
    <w:p w14:paraId="31163BFE" w14:textId="77777777" w:rsidR="004C017D" w:rsidRDefault="004C017D" w:rsidP="00FD11FE">
      <w:pPr>
        <w:jc w:val="center"/>
        <w:rPr>
          <w:rFonts w:ascii="Times New Roman" w:hAnsi="Times New Roman" w:cs="Times New Roman"/>
          <w:b/>
          <w:bCs/>
          <w:color w:val="4472C4" w:themeColor="accent1"/>
          <w:sz w:val="40"/>
          <w:szCs w:val="40"/>
        </w:rPr>
      </w:pPr>
    </w:p>
    <w:p w14:paraId="04246127" w14:textId="77777777" w:rsidR="004C017D" w:rsidRDefault="004C017D" w:rsidP="00FD11FE">
      <w:pPr>
        <w:jc w:val="center"/>
        <w:rPr>
          <w:rFonts w:ascii="Times New Roman" w:hAnsi="Times New Roman" w:cs="Times New Roman"/>
          <w:b/>
          <w:bCs/>
          <w:color w:val="4472C4" w:themeColor="accent1"/>
          <w:sz w:val="40"/>
          <w:szCs w:val="40"/>
        </w:rPr>
      </w:pPr>
    </w:p>
    <w:p w14:paraId="2A63EE20" w14:textId="77777777" w:rsidR="004C017D" w:rsidRDefault="004C017D" w:rsidP="00FD11FE">
      <w:pPr>
        <w:jc w:val="center"/>
        <w:rPr>
          <w:rFonts w:ascii="Times New Roman" w:hAnsi="Times New Roman" w:cs="Times New Roman"/>
          <w:b/>
          <w:bCs/>
          <w:color w:val="4472C4" w:themeColor="accent1"/>
          <w:sz w:val="40"/>
          <w:szCs w:val="40"/>
        </w:rPr>
      </w:pPr>
    </w:p>
    <w:p w14:paraId="303FEC43" w14:textId="77777777" w:rsidR="004C017D" w:rsidRDefault="004C017D" w:rsidP="00FD11FE">
      <w:pPr>
        <w:jc w:val="center"/>
        <w:rPr>
          <w:rFonts w:ascii="Times New Roman" w:hAnsi="Times New Roman" w:cs="Times New Roman"/>
          <w:b/>
          <w:bCs/>
          <w:color w:val="4472C4" w:themeColor="accent1"/>
          <w:sz w:val="40"/>
          <w:szCs w:val="40"/>
        </w:rPr>
      </w:pPr>
    </w:p>
    <w:p w14:paraId="7B254A5E" w14:textId="77777777" w:rsidR="004C017D" w:rsidRDefault="004C017D" w:rsidP="00FD11FE">
      <w:pPr>
        <w:jc w:val="center"/>
        <w:rPr>
          <w:rFonts w:ascii="Times New Roman" w:hAnsi="Times New Roman" w:cs="Times New Roman"/>
          <w:b/>
          <w:bCs/>
          <w:color w:val="4472C4" w:themeColor="accent1"/>
          <w:sz w:val="40"/>
          <w:szCs w:val="40"/>
        </w:rPr>
      </w:pPr>
    </w:p>
    <w:p w14:paraId="681B5B0F" w14:textId="77777777" w:rsidR="004C017D" w:rsidRDefault="004C017D" w:rsidP="00FD11FE">
      <w:pPr>
        <w:jc w:val="center"/>
        <w:rPr>
          <w:rFonts w:ascii="Times New Roman" w:hAnsi="Times New Roman" w:cs="Times New Roman"/>
          <w:b/>
          <w:bCs/>
          <w:color w:val="4472C4" w:themeColor="accent1"/>
          <w:sz w:val="40"/>
          <w:szCs w:val="40"/>
        </w:rPr>
      </w:pPr>
    </w:p>
    <w:p w14:paraId="06126119" w14:textId="77777777" w:rsidR="004C017D" w:rsidRDefault="004C017D" w:rsidP="00FD11FE">
      <w:pPr>
        <w:jc w:val="center"/>
        <w:rPr>
          <w:rFonts w:ascii="Times New Roman" w:hAnsi="Times New Roman" w:cs="Times New Roman"/>
          <w:b/>
          <w:bCs/>
          <w:color w:val="4472C4" w:themeColor="accent1"/>
          <w:sz w:val="40"/>
          <w:szCs w:val="40"/>
        </w:rPr>
      </w:pPr>
    </w:p>
    <w:p w14:paraId="1394AF56" w14:textId="77777777" w:rsidR="004C017D" w:rsidRDefault="004C017D" w:rsidP="00FD11FE">
      <w:pPr>
        <w:jc w:val="center"/>
        <w:rPr>
          <w:rFonts w:ascii="Times New Roman" w:hAnsi="Times New Roman" w:cs="Times New Roman"/>
          <w:b/>
          <w:bCs/>
          <w:color w:val="4472C4" w:themeColor="accent1"/>
          <w:sz w:val="40"/>
          <w:szCs w:val="40"/>
        </w:rPr>
      </w:pPr>
    </w:p>
    <w:p w14:paraId="6BEA3A17" w14:textId="504CACC9" w:rsidR="004C017D" w:rsidRDefault="004C017D" w:rsidP="00FD11FE">
      <w:pPr>
        <w:jc w:val="center"/>
        <w:rPr>
          <w:rFonts w:ascii="Times New Roman" w:hAnsi="Times New Roman" w:cs="Times New Roman"/>
          <w:b/>
          <w:bCs/>
          <w:color w:val="4472C4" w:themeColor="accent1"/>
          <w:sz w:val="40"/>
          <w:szCs w:val="40"/>
        </w:rPr>
      </w:pPr>
    </w:p>
    <w:p w14:paraId="288D88A4" w14:textId="77777777" w:rsidR="00350E13" w:rsidRDefault="00350E13" w:rsidP="00FD11FE">
      <w:pPr>
        <w:jc w:val="center"/>
        <w:rPr>
          <w:rFonts w:ascii="Times New Roman" w:hAnsi="Times New Roman" w:cs="Times New Roman"/>
          <w:b/>
          <w:bCs/>
          <w:color w:val="4472C4" w:themeColor="accent1"/>
          <w:sz w:val="40"/>
          <w:szCs w:val="40"/>
        </w:rPr>
      </w:pPr>
    </w:p>
    <w:p w14:paraId="1D032B63" w14:textId="783387B6" w:rsidR="00FD11FE" w:rsidRPr="00FD11FE" w:rsidRDefault="00FD11FE" w:rsidP="00FD11FE">
      <w:pPr>
        <w:jc w:val="center"/>
        <w:rPr>
          <w:rFonts w:ascii="Times New Roman" w:hAnsi="Times New Roman" w:cs="Times New Roman"/>
          <w:b/>
          <w:bCs/>
          <w:color w:val="4472C4" w:themeColor="accent1"/>
          <w:sz w:val="40"/>
          <w:szCs w:val="40"/>
        </w:rPr>
      </w:pPr>
      <w:r>
        <w:rPr>
          <w:rFonts w:ascii="Times New Roman" w:hAnsi="Times New Roman" w:cs="Times New Roman"/>
          <w:b/>
          <w:bCs/>
          <w:color w:val="4472C4" w:themeColor="accent1"/>
          <w:sz w:val="40"/>
          <w:szCs w:val="40"/>
        </w:rPr>
        <w:lastRenderedPageBreak/>
        <w:t xml:space="preserve">Outcomes for </w:t>
      </w:r>
      <w:r w:rsidRPr="001F5B24">
        <w:rPr>
          <w:rFonts w:ascii="Times New Roman" w:hAnsi="Times New Roman" w:cs="Times New Roman"/>
          <w:b/>
          <w:bCs/>
          <w:color w:val="4472C4" w:themeColor="accent1"/>
          <w:sz w:val="40"/>
          <w:szCs w:val="40"/>
        </w:rPr>
        <w:t>20</w:t>
      </w:r>
      <w:r>
        <w:rPr>
          <w:rFonts w:ascii="Times New Roman" w:hAnsi="Times New Roman" w:cs="Times New Roman"/>
          <w:b/>
          <w:bCs/>
          <w:color w:val="4472C4" w:themeColor="accent1"/>
          <w:sz w:val="40"/>
          <w:szCs w:val="40"/>
        </w:rPr>
        <w:t>19</w:t>
      </w:r>
      <w:r w:rsidRPr="001F5B24">
        <w:rPr>
          <w:rFonts w:ascii="Times New Roman" w:hAnsi="Times New Roman" w:cs="Times New Roman"/>
          <w:b/>
          <w:bCs/>
          <w:color w:val="4472C4" w:themeColor="accent1"/>
          <w:sz w:val="40"/>
          <w:szCs w:val="40"/>
        </w:rPr>
        <w:t xml:space="preserve"> </w:t>
      </w:r>
      <w:r>
        <w:rPr>
          <w:rFonts w:ascii="Times New Roman" w:hAnsi="Times New Roman" w:cs="Times New Roman"/>
          <w:b/>
          <w:bCs/>
          <w:color w:val="4472C4" w:themeColor="accent1"/>
          <w:sz w:val="40"/>
          <w:szCs w:val="40"/>
        </w:rPr>
        <w:t>D</w:t>
      </w:r>
      <w:r w:rsidRPr="001F5B24">
        <w:rPr>
          <w:rFonts w:ascii="Times New Roman" w:hAnsi="Times New Roman" w:cs="Times New Roman"/>
          <w:b/>
          <w:bCs/>
          <w:color w:val="4472C4" w:themeColor="accent1"/>
          <w:sz w:val="40"/>
          <w:szCs w:val="40"/>
        </w:rPr>
        <w:t>ata</w:t>
      </w:r>
    </w:p>
    <w:p w14:paraId="4EB3515F" w14:textId="0A55EA1E" w:rsidR="00A579D4" w:rsidRPr="00B62007" w:rsidRDefault="00F17597" w:rsidP="009672A8">
      <w:pPr>
        <w:pStyle w:val="Content"/>
        <w:rPr>
          <w:rFonts w:ascii="Times New Roman" w:eastAsia="MS Mincho" w:hAnsi="Times New Roman" w:cs="Times New Roman"/>
          <w:b/>
          <w:bCs/>
          <w:color w:val="4472C4" w:themeColor="accent1"/>
          <w:sz w:val="24"/>
          <w:szCs w:val="24"/>
        </w:rPr>
      </w:pPr>
      <w:r w:rsidRPr="00B62007">
        <w:rPr>
          <w:rFonts w:ascii="Times New Roman" w:eastAsia="MS Mincho" w:hAnsi="Times New Roman" w:cs="Times New Roman"/>
          <w:b/>
          <w:bCs/>
          <w:color w:val="4472C4" w:themeColor="accent1"/>
          <w:sz w:val="24"/>
          <w:szCs w:val="24"/>
        </w:rPr>
        <w:t>The number of assesse</w:t>
      </w:r>
      <w:r w:rsidR="00A55C27">
        <w:rPr>
          <w:rFonts w:ascii="Times New Roman" w:eastAsia="MS Mincho" w:hAnsi="Times New Roman" w:cs="Times New Roman"/>
          <w:b/>
          <w:bCs/>
          <w:color w:val="4472C4" w:themeColor="accent1"/>
          <w:sz w:val="24"/>
          <w:szCs w:val="24"/>
        </w:rPr>
        <w:t>d</w:t>
      </w:r>
      <w:r w:rsidRPr="00B62007">
        <w:rPr>
          <w:rFonts w:ascii="Times New Roman" w:eastAsia="MS Mincho" w:hAnsi="Times New Roman" w:cs="Times New Roman"/>
          <w:b/>
          <w:bCs/>
          <w:color w:val="4472C4" w:themeColor="accent1"/>
          <w:sz w:val="24"/>
          <w:szCs w:val="24"/>
        </w:rPr>
        <w:t xml:space="preserve"> individuals by age, gender, race, or ethnicity </w:t>
      </w:r>
    </w:p>
    <w:p w14:paraId="1165CA59" w14:textId="51BD71F4" w:rsidR="00712AE3" w:rsidRDefault="00E65A98" w:rsidP="00AC66DC">
      <w:pPr>
        <w:pStyle w:val="Content"/>
        <w:jc w:val="both"/>
        <w:rPr>
          <w:rFonts w:ascii="Times New Roman" w:hAnsi="Times New Roman" w:cs="Times New Roman"/>
          <w:color w:val="auto"/>
          <w:sz w:val="24"/>
          <w:szCs w:val="24"/>
        </w:rPr>
      </w:pPr>
      <w:r>
        <w:rPr>
          <w:rFonts w:ascii="Times New Roman" w:hAnsi="Times New Roman" w:cs="Times New Roman"/>
          <w:color w:val="auto"/>
          <w:sz w:val="24"/>
          <w:szCs w:val="24"/>
        </w:rPr>
        <w:t>Table</w:t>
      </w:r>
      <w:r w:rsidR="002320EB" w:rsidRPr="002320EB">
        <w:rPr>
          <w:rFonts w:ascii="Times New Roman" w:hAnsi="Times New Roman" w:cs="Times New Roman"/>
          <w:color w:val="auto"/>
          <w:sz w:val="24"/>
          <w:szCs w:val="24"/>
        </w:rPr>
        <w:t xml:space="preserve"> 2 illustrates all individuals in the 2019 data set (n=753), </w:t>
      </w:r>
      <w:r w:rsidR="00053768">
        <w:rPr>
          <w:rFonts w:ascii="Times New Roman" w:hAnsi="Times New Roman" w:cs="Times New Roman"/>
          <w:color w:val="auto"/>
          <w:sz w:val="24"/>
          <w:szCs w:val="24"/>
        </w:rPr>
        <w:t xml:space="preserve">which </w:t>
      </w:r>
      <w:r w:rsidR="006F69B7">
        <w:rPr>
          <w:rFonts w:ascii="Times New Roman" w:hAnsi="Times New Roman" w:cs="Times New Roman"/>
          <w:color w:val="auto"/>
          <w:sz w:val="24"/>
          <w:szCs w:val="24"/>
        </w:rPr>
        <w:t>compris</w:t>
      </w:r>
      <w:r w:rsidR="00053768">
        <w:rPr>
          <w:rFonts w:ascii="Times New Roman" w:hAnsi="Times New Roman" w:cs="Times New Roman"/>
          <w:color w:val="auto"/>
          <w:sz w:val="24"/>
          <w:szCs w:val="24"/>
        </w:rPr>
        <w:t>es</w:t>
      </w:r>
      <w:r w:rsidR="008324DB">
        <w:rPr>
          <w:rFonts w:ascii="Times New Roman" w:hAnsi="Times New Roman" w:cs="Times New Roman"/>
          <w:color w:val="auto"/>
          <w:sz w:val="24"/>
          <w:szCs w:val="24"/>
        </w:rPr>
        <w:t xml:space="preserve"> </w:t>
      </w:r>
      <w:r w:rsidR="002320EB" w:rsidRPr="002320EB">
        <w:rPr>
          <w:rFonts w:ascii="Times New Roman" w:hAnsi="Times New Roman" w:cs="Times New Roman"/>
          <w:color w:val="auto"/>
          <w:sz w:val="24"/>
          <w:szCs w:val="24"/>
        </w:rPr>
        <w:t xml:space="preserve">individuals who received an assessment score regardless of release decision. This population includes individuals released on pretrial supervision, ORR, or who were ordered detained. </w:t>
      </w:r>
      <w:r>
        <w:rPr>
          <w:rFonts w:ascii="Times New Roman" w:hAnsi="Times New Roman" w:cs="Times New Roman"/>
          <w:color w:val="auto"/>
          <w:sz w:val="24"/>
          <w:szCs w:val="24"/>
        </w:rPr>
        <w:t>Table</w:t>
      </w:r>
      <w:r w:rsidR="002320EB" w:rsidRPr="002320EB">
        <w:rPr>
          <w:rFonts w:ascii="Times New Roman" w:hAnsi="Times New Roman" w:cs="Times New Roman"/>
          <w:color w:val="auto"/>
          <w:sz w:val="24"/>
          <w:szCs w:val="24"/>
        </w:rPr>
        <w:t xml:space="preserve"> 2 suggests that of those assessed in 2019, 79% were male, and 21% were female. Concerning race, approximately 35% identified as white, 36% as Black, 21% as Latine, four percent as Asian, less than one percent as Native American, and less than three percent as other. The age group most assessed is from age 26-35 at about 40%, followed by 36-45 at 23%, then 18-35 at 16%, 46-55 at 13%, and seven percent are 56 and older.</w:t>
      </w:r>
    </w:p>
    <w:p w14:paraId="333CC2B4" w14:textId="77777777" w:rsidR="002320EB" w:rsidRPr="00B62007" w:rsidRDefault="002320EB" w:rsidP="00AC66DC">
      <w:pPr>
        <w:pStyle w:val="Content"/>
        <w:jc w:val="both"/>
        <w:rPr>
          <w:rFonts w:ascii="Times New Roman" w:hAnsi="Times New Roman" w:cs="Times New Roman"/>
          <w:color w:val="auto"/>
          <w:sz w:val="24"/>
          <w:szCs w:val="24"/>
        </w:rPr>
      </w:pPr>
    </w:p>
    <w:p w14:paraId="17D21179" w14:textId="04399A6F" w:rsidR="009672A8" w:rsidRPr="001F5B24" w:rsidRDefault="00E65A98" w:rsidP="009672A8">
      <w:pPr>
        <w:pStyle w:val="Content"/>
        <w:rPr>
          <w:rFonts w:ascii="Times New Roman" w:hAnsi="Times New Roman" w:cs="Times New Roman"/>
          <w:b/>
          <w:bCs/>
          <w:color w:val="auto"/>
          <w:sz w:val="24"/>
          <w:szCs w:val="24"/>
        </w:rPr>
      </w:pPr>
      <w:r>
        <w:rPr>
          <w:rFonts w:ascii="Times New Roman" w:hAnsi="Times New Roman" w:cs="Times New Roman"/>
          <w:b/>
          <w:bCs/>
          <w:color w:val="auto"/>
          <w:sz w:val="24"/>
          <w:szCs w:val="24"/>
        </w:rPr>
        <w:t>Table</w:t>
      </w:r>
      <w:r w:rsidR="00F17597" w:rsidRPr="001F5B24">
        <w:rPr>
          <w:rFonts w:ascii="Times New Roman" w:hAnsi="Times New Roman" w:cs="Times New Roman"/>
          <w:b/>
          <w:bCs/>
          <w:color w:val="auto"/>
          <w:sz w:val="24"/>
          <w:szCs w:val="24"/>
        </w:rPr>
        <w:t xml:space="preserve"> </w:t>
      </w:r>
      <w:r w:rsidR="0018624F">
        <w:rPr>
          <w:rFonts w:ascii="Times New Roman" w:hAnsi="Times New Roman" w:cs="Times New Roman"/>
          <w:b/>
          <w:bCs/>
          <w:color w:val="auto"/>
          <w:sz w:val="24"/>
          <w:szCs w:val="24"/>
        </w:rPr>
        <w:t>2</w:t>
      </w:r>
      <w:r w:rsidR="00F17597" w:rsidRPr="001F5B24">
        <w:rPr>
          <w:rFonts w:ascii="Times New Roman" w:hAnsi="Times New Roman" w:cs="Times New Roman"/>
          <w:b/>
          <w:bCs/>
          <w:color w:val="auto"/>
          <w:sz w:val="24"/>
          <w:szCs w:val="24"/>
        </w:rPr>
        <w:t xml:space="preserve">: </w:t>
      </w:r>
      <w:r w:rsidR="00E664A7">
        <w:rPr>
          <w:rFonts w:ascii="Times New Roman" w:hAnsi="Times New Roman" w:cs="Times New Roman"/>
          <w:b/>
          <w:bCs/>
          <w:color w:val="auto"/>
          <w:sz w:val="24"/>
          <w:szCs w:val="24"/>
        </w:rPr>
        <w:t>2019</w:t>
      </w:r>
      <w:r w:rsidR="00760C5B">
        <w:rPr>
          <w:rFonts w:ascii="Times New Roman" w:hAnsi="Times New Roman" w:cs="Times New Roman"/>
          <w:b/>
          <w:bCs/>
          <w:color w:val="auto"/>
          <w:sz w:val="24"/>
          <w:szCs w:val="24"/>
        </w:rPr>
        <w:t xml:space="preserve"> Demographics </w:t>
      </w:r>
    </w:p>
    <w:tbl>
      <w:tblPr>
        <w:tblStyle w:val="GridTable1Light1"/>
        <w:tblW w:w="0" w:type="auto"/>
        <w:tblLook w:val="04A0" w:firstRow="1" w:lastRow="0" w:firstColumn="1" w:lastColumn="0" w:noHBand="0" w:noVBand="1"/>
      </w:tblPr>
      <w:tblGrid>
        <w:gridCol w:w="2337"/>
        <w:gridCol w:w="1258"/>
        <w:gridCol w:w="2340"/>
        <w:gridCol w:w="2520"/>
      </w:tblGrid>
      <w:tr w:rsidR="00C26AA1" w:rsidRPr="001F5B24" w14:paraId="578BC9D3" w14:textId="77777777" w:rsidTr="00C26AA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263ECA37" w14:textId="77777777" w:rsidR="009672A8" w:rsidRPr="001F5B24" w:rsidRDefault="00F17597" w:rsidP="009672A8">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Demographics </w:t>
            </w:r>
          </w:p>
        </w:tc>
        <w:tc>
          <w:tcPr>
            <w:tcW w:w="1258" w:type="dxa"/>
          </w:tcPr>
          <w:p w14:paraId="51E06CEE" w14:textId="77777777" w:rsidR="009672A8" w:rsidRPr="001F5B24" w:rsidRDefault="009672A8" w:rsidP="009672A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29BFD535" w14:textId="6EEE7C09" w:rsidR="009672A8" w:rsidRPr="001F5B24" w:rsidRDefault="00F17597" w:rsidP="009672A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N (</w:t>
            </w:r>
            <w:r w:rsidR="00B53ADA" w:rsidRPr="001F5B24">
              <w:rPr>
                <w:rFonts w:ascii="Times New Roman" w:eastAsia="MS Mincho" w:hAnsi="Times New Roman" w:cs="Times New Roman"/>
              </w:rPr>
              <w:t>753</w:t>
            </w:r>
            <w:r w:rsidRPr="001F5B24">
              <w:rPr>
                <w:rFonts w:ascii="Times New Roman" w:eastAsia="MS Mincho" w:hAnsi="Times New Roman" w:cs="Times New Roman"/>
              </w:rPr>
              <w:t>)</w:t>
            </w:r>
          </w:p>
        </w:tc>
        <w:tc>
          <w:tcPr>
            <w:tcW w:w="2520" w:type="dxa"/>
          </w:tcPr>
          <w:p w14:paraId="3F631790" w14:textId="77777777" w:rsidR="009672A8" w:rsidRPr="001F5B24" w:rsidRDefault="00F17597" w:rsidP="009672A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w:t>
            </w:r>
          </w:p>
        </w:tc>
      </w:tr>
      <w:tr w:rsidR="00C26AA1" w:rsidRPr="001F5B24" w14:paraId="3C9B0C37" w14:textId="77777777" w:rsidTr="00C26AA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28CA8DAD" w14:textId="77777777" w:rsidR="009672A8" w:rsidRPr="001F5B24" w:rsidRDefault="00F17597" w:rsidP="009672A8">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Gender </w:t>
            </w:r>
          </w:p>
        </w:tc>
        <w:tc>
          <w:tcPr>
            <w:tcW w:w="1258" w:type="dxa"/>
          </w:tcPr>
          <w:p w14:paraId="7DAA0082" w14:textId="77777777" w:rsidR="009672A8" w:rsidRPr="001F5B24" w:rsidRDefault="009672A8"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7DE2732F"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7369CAEE"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CD47FA" w:rsidRPr="001F5B24" w14:paraId="4FD0EA36"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676EF9A0" w14:textId="77777777" w:rsidR="00CD47FA" w:rsidRPr="001F5B24" w:rsidRDefault="00CD47FA" w:rsidP="00CD47FA">
            <w:pPr>
              <w:spacing w:line="276" w:lineRule="auto"/>
              <w:rPr>
                <w:rFonts w:ascii="Times New Roman" w:eastAsia="MS Mincho" w:hAnsi="Times New Roman" w:cs="Times New Roman"/>
              </w:rPr>
            </w:pPr>
          </w:p>
        </w:tc>
        <w:tc>
          <w:tcPr>
            <w:tcW w:w="1258" w:type="dxa"/>
          </w:tcPr>
          <w:p w14:paraId="276B5E52" w14:textId="2345852C" w:rsidR="00CD47FA" w:rsidRPr="001F5B24" w:rsidRDefault="00CD47FA" w:rsidP="00CD47F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Female</w:t>
            </w:r>
          </w:p>
        </w:tc>
        <w:tc>
          <w:tcPr>
            <w:tcW w:w="2340" w:type="dxa"/>
          </w:tcPr>
          <w:p w14:paraId="5D0E388B" w14:textId="3D12A9DF" w:rsidR="00CD47FA" w:rsidRPr="001F5B24" w:rsidRDefault="00CD47FA" w:rsidP="00CD4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159</w:t>
            </w:r>
          </w:p>
        </w:tc>
        <w:tc>
          <w:tcPr>
            <w:tcW w:w="2520" w:type="dxa"/>
          </w:tcPr>
          <w:p w14:paraId="059C14A6" w14:textId="100BB565" w:rsidR="00CD47FA" w:rsidRPr="001F5B24" w:rsidRDefault="00CD47FA" w:rsidP="00CD47F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21.12</w:t>
            </w:r>
          </w:p>
        </w:tc>
      </w:tr>
      <w:tr w:rsidR="00C26AA1" w:rsidRPr="001F5B24" w14:paraId="6FFACC51"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23306848"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131D64E1"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Male</w:t>
            </w:r>
          </w:p>
        </w:tc>
        <w:tc>
          <w:tcPr>
            <w:tcW w:w="2340" w:type="dxa"/>
          </w:tcPr>
          <w:p w14:paraId="69B3D398" w14:textId="60FCA0CB"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594</w:t>
            </w:r>
          </w:p>
        </w:tc>
        <w:tc>
          <w:tcPr>
            <w:tcW w:w="2520" w:type="dxa"/>
          </w:tcPr>
          <w:p w14:paraId="32C94F7A" w14:textId="1310F1BE"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7</w:t>
            </w:r>
            <w:r w:rsidR="00A12361" w:rsidRPr="001F5B24">
              <w:rPr>
                <w:rFonts w:ascii="Times New Roman" w:eastAsia="MS Mincho" w:hAnsi="Times New Roman" w:cs="Times New Roman"/>
              </w:rPr>
              <w:t>8.88</w:t>
            </w:r>
          </w:p>
        </w:tc>
      </w:tr>
      <w:tr w:rsidR="00C26AA1" w:rsidRPr="001F5B24" w14:paraId="107F9FC2"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3CC6AF4" w14:textId="77777777" w:rsidR="009672A8" w:rsidRPr="001F5B24" w:rsidRDefault="00F17597" w:rsidP="009672A8">
            <w:pPr>
              <w:spacing w:line="276" w:lineRule="auto"/>
              <w:rPr>
                <w:rFonts w:ascii="Times New Roman" w:eastAsia="MS Mincho" w:hAnsi="Times New Roman" w:cs="Times New Roman"/>
              </w:rPr>
            </w:pPr>
            <w:r w:rsidRPr="001F5B24">
              <w:rPr>
                <w:rFonts w:ascii="Times New Roman" w:eastAsia="MS Mincho" w:hAnsi="Times New Roman" w:cs="Times New Roman"/>
              </w:rPr>
              <w:t>Race</w:t>
            </w:r>
          </w:p>
        </w:tc>
        <w:tc>
          <w:tcPr>
            <w:tcW w:w="1258" w:type="dxa"/>
          </w:tcPr>
          <w:p w14:paraId="042FFBFE" w14:textId="77777777" w:rsidR="009672A8" w:rsidRPr="001F5B24" w:rsidRDefault="009672A8"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3FE301BC"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02C66790"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C26AA1" w:rsidRPr="001F5B24" w14:paraId="7B99A51E"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271686C9"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263D91E1"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Black</w:t>
            </w:r>
          </w:p>
        </w:tc>
        <w:tc>
          <w:tcPr>
            <w:tcW w:w="2340" w:type="dxa"/>
          </w:tcPr>
          <w:p w14:paraId="23123BCF" w14:textId="7ECAEE32"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275</w:t>
            </w:r>
          </w:p>
        </w:tc>
        <w:tc>
          <w:tcPr>
            <w:tcW w:w="2520" w:type="dxa"/>
          </w:tcPr>
          <w:p w14:paraId="0D8D2A3A" w14:textId="329CC2F5"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36.</w:t>
            </w:r>
            <w:r w:rsidR="00897577" w:rsidRPr="001F5B24">
              <w:rPr>
                <w:rFonts w:ascii="Times New Roman" w:eastAsia="MS Mincho" w:hAnsi="Times New Roman" w:cs="Times New Roman"/>
              </w:rPr>
              <w:t>52</w:t>
            </w:r>
          </w:p>
        </w:tc>
      </w:tr>
      <w:tr w:rsidR="004413AD" w:rsidRPr="001F5B24" w14:paraId="4BCA47EB"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18B346F1" w14:textId="77777777" w:rsidR="004413AD" w:rsidRPr="001F5B24" w:rsidRDefault="004413AD" w:rsidP="004413AD">
            <w:pPr>
              <w:spacing w:line="276" w:lineRule="auto"/>
              <w:rPr>
                <w:rFonts w:ascii="Times New Roman" w:eastAsia="MS Mincho" w:hAnsi="Times New Roman" w:cs="Times New Roman"/>
              </w:rPr>
            </w:pPr>
          </w:p>
        </w:tc>
        <w:tc>
          <w:tcPr>
            <w:tcW w:w="1258" w:type="dxa"/>
          </w:tcPr>
          <w:p w14:paraId="30B55428" w14:textId="27BDEE59" w:rsidR="004413AD" w:rsidRPr="001F5B24" w:rsidRDefault="004413AD" w:rsidP="004413A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white</w:t>
            </w:r>
            <w:r>
              <w:rPr>
                <w:rStyle w:val="FootnoteReference"/>
                <w:rFonts w:ascii="Times New Roman" w:eastAsia="MS Mincho" w:hAnsi="Times New Roman" w:cs="Times New Roman"/>
              </w:rPr>
              <w:footnoteReference w:id="1"/>
            </w:r>
          </w:p>
        </w:tc>
        <w:tc>
          <w:tcPr>
            <w:tcW w:w="2340" w:type="dxa"/>
          </w:tcPr>
          <w:p w14:paraId="376A5CBF" w14:textId="55A3B69F" w:rsidR="004413AD" w:rsidRPr="001F5B24" w:rsidRDefault="004413AD" w:rsidP="004413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264</w:t>
            </w:r>
          </w:p>
        </w:tc>
        <w:tc>
          <w:tcPr>
            <w:tcW w:w="2520" w:type="dxa"/>
          </w:tcPr>
          <w:p w14:paraId="0674D98A" w14:textId="04A1D08D" w:rsidR="004413AD" w:rsidRPr="001F5B24" w:rsidRDefault="004413AD" w:rsidP="004413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35.06</w:t>
            </w:r>
          </w:p>
        </w:tc>
      </w:tr>
      <w:tr w:rsidR="00C26AA1" w:rsidRPr="001F5B24" w14:paraId="03C74D99"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50607CFD"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20A7D0F3"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Latine</w:t>
            </w:r>
            <w:r w:rsidRPr="001F5B24">
              <w:rPr>
                <w:rFonts w:ascii="Times New Roman" w:eastAsia="MS Mincho" w:hAnsi="Times New Roman" w:cs="Times New Roman"/>
                <w:vertAlign w:val="superscript"/>
              </w:rPr>
              <w:footnoteReference w:id="2"/>
            </w:r>
          </w:p>
        </w:tc>
        <w:tc>
          <w:tcPr>
            <w:tcW w:w="2340" w:type="dxa"/>
          </w:tcPr>
          <w:p w14:paraId="6107C85A" w14:textId="4F1C32A6"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w:t>
            </w:r>
            <w:r w:rsidR="00897577" w:rsidRPr="001F5B24">
              <w:rPr>
                <w:rFonts w:ascii="Times New Roman" w:eastAsia="MS Mincho" w:hAnsi="Times New Roman" w:cs="Times New Roman"/>
              </w:rPr>
              <w:t>65</w:t>
            </w:r>
          </w:p>
        </w:tc>
        <w:tc>
          <w:tcPr>
            <w:tcW w:w="2520" w:type="dxa"/>
          </w:tcPr>
          <w:p w14:paraId="029E08E1" w14:textId="255112D4"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21.</w:t>
            </w:r>
            <w:r w:rsidR="00C64258" w:rsidRPr="001F5B24">
              <w:rPr>
                <w:rFonts w:ascii="Times New Roman" w:eastAsia="MS Mincho" w:hAnsi="Times New Roman" w:cs="Times New Roman"/>
              </w:rPr>
              <w:t>91</w:t>
            </w:r>
          </w:p>
        </w:tc>
      </w:tr>
      <w:tr w:rsidR="00C26AA1" w:rsidRPr="001F5B24" w14:paraId="4051AA56"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0FF8A05B"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502C8F40"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Asian</w:t>
            </w:r>
            <w:r w:rsidRPr="001F5B24">
              <w:rPr>
                <w:rFonts w:ascii="Times New Roman" w:eastAsia="MS Mincho" w:hAnsi="Times New Roman" w:cs="Times New Roman"/>
                <w:vertAlign w:val="superscript"/>
              </w:rPr>
              <w:footnoteReference w:id="3"/>
            </w:r>
          </w:p>
        </w:tc>
        <w:tc>
          <w:tcPr>
            <w:tcW w:w="2340" w:type="dxa"/>
          </w:tcPr>
          <w:p w14:paraId="588070CA" w14:textId="450EC9BE"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28</w:t>
            </w:r>
          </w:p>
        </w:tc>
        <w:tc>
          <w:tcPr>
            <w:tcW w:w="2520" w:type="dxa"/>
          </w:tcPr>
          <w:p w14:paraId="5273D225" w14:textId="56D6AA54"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w:t>
            </w:r>
            <w:r w:rsidR="00C64258" w:rsidRPr="001F5B24">
              <w:rPr>
                <w:rFonts w:ascii="Times New Roman" w:eastAsia="MS Mincho" w:hAnsi="Times New Roman" w:cs="Times New Roman"/>
              </w:rPr>
              <w:t>72</w:t>
            </w:r>
          </w:p>
        </w:tc>
      </w:tr>
      <w:tr w:rsidR="00C26AA1" w:rsidRPr="001F5B24" w14:paraId="2646DAD6"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1800775E"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64F0079F"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 xml:space="preserve">Native Americans </w:t>
            </w:r>
          </w:p>
        </w:tc>
        <w:tc>
          <w:tcPr>
            <w:tcW w:w="2340" w:type="dxa"/>
          </w:tcPr>
          <w:p w14:paraId="67613A9F" w14:textId="77777777"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w:t>
            </w:r>
          </w:p>
        </w:tc>
        <w:tc>
          <w:tcPr>
            <w:tcW w:w="2520" w:type="dxa"/>
          </w:tcPr>
          <w:p w14:paraId="1812DA21" w14:textId="694A6BBE"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w:t>
            </w:r>
            <w:r w:rsidR="00C64258" w:rsidRPr="001F5B24">
              <w:rPr>
                <w:rFonts w:ascii="Times New Roman" w:eastAsia="MS Mincho" w:hAnsi="Times New Roman" w:cs="Times New Roman"/>
              </w:rPr>
              <w:t>40</w:t>
            </w:r>
          </w:p>
        </w:tc>
      </w:tr>
      <w:tr w:rsidR="00C26AA1" w:rsidRPr="001F5B24" w14:paraId="370894F7"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07461C16"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27B03164" w14:textId="77777777"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 xml:space="preserve">Other </w:t>
            </w:r>
          </w:p>
        </w:tc>
        <w:tc>
          <w:tcPr>
            <w:tcW w:w="2340" w:type="dxa"/>
          </w:tcPr>
          <w:p w14:paraId="2D63820D" w14:textId="6482F542"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18</w:t>
            </w:r>
          </w:p>
        </w:tc>
        <w:tc>
          <w:tcPr>
            <w:tcW w:w="2520" w:type="dxa"/>
          </w:tcPr>
          <w:p w14:paraId="5D80F374" w14:textId="665F982E"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w:t>
            </w:r>
            <w:r w:rsidR="00C64258" w:rsidRPr="001F5B24">
              <w:rPr>
                <w:rFonts w:ascii="Times New Roman" w:eastAsia="MS Mincho" w:hAnsi="Times New Roman" w:cs="Times New Roman"/>
              </w:rPr>
              <w:t>39</w:t>
            </w:r>
          </w:p>
        </w:tc>
      </w:tr>
      <w:tr w:rsidR="00C26AA1" w:rsidRPr="001F5B24" w14:paraId="31E644EC"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5F4789D1" w14:textId="77777777" w:rsidR="009672A8" w:rsidRPr="001F5B24" w:rsidRDefault="00F17597" w:rsidP="009672A8">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Age </w:t>
            </w:r>
          </w:p>
        </w:tc>
        <w:tc>
          <w:tcPr>
            <w:tcW w:w="1258" w:type="dxa"/>
          </w:tcPr>
          <w:p w14:paraId="567EF8B5" w14:textId="77777777" w:rsidR="009672A8" w:rsidRPr="001F5B24" w:rsidRDefault="009672A8"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6018132A"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16A4232D" w14:textId="77777777" w:rsidR="009672A8" w:rsidRPr="001F5B24" w:rsidRDefault="009672A8"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C26AA1" w:rsidRPr="001F5B24" w14:paraId="75A0B668"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69EEE7D3"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0D407E8B" w14:textId="21E6D3BA"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18-</w:t>
            </w:r>
            <w:r w:rsidR="009914FC" w:rsidRPr="001F5B24">
              <w:rPr>
                <w:rFonts w:ascii="Times New Roman" w:eastAsia="MS Mincho" w:hAnsi="Times New Roman" w:cs="Times New Roman"/>
              </w:rPr>
              <w:t>25</w:t>
            </w:r>
          </w:p>
        </w:tc>
        <w:tc>
          <w:tcPr>
            <w:tcW w:w="2340" w:type="dxa"/>
          </w:tcPr>
          <w:p w14:paraId="7E435BC1" w14:textId="00514541"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w:t>
            </w:r>
            <w:r w:rsidR="0036394B" w:rsidRPr="001F5B24">
              <w:rPr>
                <w:rFonts w:ascii="Times New Roman" w:eastAsia="MS Mincho" w:hAnsi="Times New Roman" w:cs="Times New Roman"/>
              </w:rPr>
              <w:t>21</w:t>
            </w:r>
          </w:p>
        </w:tc>
        <w:tc>
          <w:tcPr>
            <w:tcW w:w="2520" w:type="dxa"/>
          </w:tcPr>
          <w:p w14:paraId="79240354" w14:textId="74777CBC"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16.</w:t>
            </w:r>
            <w:r w:rsidR="009B79FF" w:rsidRPr="001F5B24">
              <w:rPr>
                <w:rFonts w:ascii="Times New Roman" w:eastAsia="MS Mincho" w:hAnsi="Times New Roman" w:cs="Times New Roman"/>
              </w:rPr>
              <w:t>06</w:t>
            </w:r>
          </w:p>
        </w:tc>
      </w:tr>
      <w:tr w:rsidR="00C26AA1" w:rsidRPr="001F5B24" w14:paraId="660920CE"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3182AE97"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7D70A59A" w14:textId="3C5A88B4"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w:t>
            </w:r>
            <w:r w:rsidR="009914FC" w:rsidRPr="001F5B24">
              <w:rPr>
                <w:rFonts w:ascii="Times New Roman" w:eastAsia="MS Mincho" w:hAnsi="Times New Roman" w:cs="Times New Roman"/>
              </w:rPr>
              <w:t>6-35</w:t>
            </w:r>
          </w:p>
        </w:tc>
        <w:tc>
          <w:tcPr>
            <w:tcW w:w="2340" w:type="dxa"/>
          </w:tcPr>
          <w:p w14:paraId="658E0179" w14:textId="4C36DB46"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296</w:t>
            </w:r>
          </w:p>
        </w:tc>
        <w:tc>
          <w:tcPr>
            <w:tcW w:w="2520" w:type="dxa"/>
          </w:tcPr>
          <w:p w14:paraId="13DB7AF7" w14:textId="071AD789"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39.3</w:t>
            </w:r>
            <w:r w:rsidR="008240E1" w:rsidRPr="001F5B24">
              <w:rPr>
                <w:rFonts w:ascii="Times New Roman" w:eastAsia="MS Mincho" w:hAnsi="Times New Roman" w:cs="Times New Roman"/>
              </w:rPr>
              <w:t>1</w:t>
            </w:r>
          </w:p>
        </w:tc>
      </w:tr>
      <w:tr w:rsidR="00C26AA1" w:rsidRPr="001F5B24" w14:paraId="4356BA9A"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073C7F31"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36E8340C" w14:textId="0FB8C330"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36-45</w:t>
            </w:r>
          </w:p>
        </w:tc>
        <w:tc>
          <w:tcPr>
            <w:tcW w:w="2340" w:type="dxa"/>
          </w:tcPr>
          <w:p w14:paraId="05218183" w14:textId="37F1D7DA"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177</w:t>
            </w:r>
          </w:p>
        </w:tc>
        <w:tc>
          <w:tcPr>
            <w:tcW w:w="2520" w:type="dxa"/>
          </w:tcPr>
          <w:p w14:paraId="71722733" w14:textId="1A1FCA02"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23.51</w:t>
            </w:r>
          </w:p>
        </w:tc>
      </w:tr>
      <w:tr w:rsidR="00C26AA1" w:rsidRPr="001F5B24" w14:paraId="675F9CBF"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71416F26"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7651F066" w14:textId="595B38A3"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46-55</w:t>
            </w:r>
          </w:p>
        </w:tc>
        <w:tc>
          <w:tcPr>
            <w:tcW w:w="2340" w:type="dxa"/>
          </w:tcPr>
          <w:p w14:paraId="408072F7" w14:textId="61523A2B"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103</w:t>
            </w:r>
          </w:p>
        </w:tc>
        <w:tc>
          <w:tcPr>
            <w:tcW w:w="2520" w:type="dxa"/>
          </w:tcPr>
          <w:p w14:paraId="1AC73597" w14:textId="08813A38"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13.</w:t>
            </w:r>
            <w:r w:rsidR="00B2097A" w:rsidRPr="001F5B24">
              <w:rPr>
                <w:rFonts w:ascii="Times New Roman" w:eastAsia="MS Mincho" w:hAnsi="Times New Roman" w:cs="Times New Roman"/>
              </w:rPr>
              <w:t>6</w:t>
            </w:r>
            <w:r w:rsidR="00302B36" w:rsidRPr="001F5B24">
              <w:rPr>
                <w:rFonts w:ascii="Times New Roman" w:eastAsia="MS Mincho" w:hAnsi="Times New Roman" w:cs="Times New Roman"/>
              </w:rPr>
              <w:t>8</w:t>
            </w:r>
          </w:p>
        </w:tc>
      </w:tr>
      <w:tr w:rsidR="00C26AA1" w:rsidRPr="001F5B24" w14:paraId="56D5806F" w14:textId="77777777" w:rsidTr="00C26AA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5A0D42BF" w14:textId="77777777" w:rsidR="009672A8" w:rsidRPr="001F5B24" w:rsidRDefault="009672A8" w:rsidP="009672A8">
            <w:pPr>
              <w:spacing w:line="276" w:lineRule="auto"/>
              <w:rPr>
                <w:rFonts w:ascii="Times New Roman" w:eastAsia="MS Mincho" w:hAnsi="Times New Roman" w:cs="Times New Roman"/>
              </w:rPr>
            </w:pPr>
          </w:p>
        </w:tc>
        <w:tc>
          <w:tcPr>
            <w:tcW w:w="1258" w:type="dxa"/>
          </w:tcPr>
          <w:p w14:paraId="49C680CA" w14:textId="69DF8E1C" w:rsidR="009672A8" w:rsidRPr="001F5B24" w:rsidRDefault="00F17597" w:rsidP="009672A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56 and older</w:t>
            </w:r>
          </w:p>
        </w:tc>
        <w:tc>
          <w:tcPr>
            <w:tcW w:w="2340" w:type="dxa"/>
          </w:tcPr>
          <w:p w14:paraId="5F479255" w14:textId="2170F883"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56</w:t>
            </w:r>
          </w:p>
        </w:tc>
        <w:tc>
          <w:tcPr>
            <w:tcW w:w="2520" w:type="dxa"/>
          </w:tcPr>
          <w:p w14:paraId="57C5B59F" w14:textId="301C7296" w:rsidR="009672A8" w:rsidRPr="001F5B24" w:rsidRDefault="00F17597" w:rsidP="009672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7.</w:t>
            </w:r>
            <w:r w:rsidR="00302B36" w:rsidRPr="001F5B24">
              <w:rPr>
                <w:rFonts w:ascii="Times New Roman" w:eastAsia="MS Mincho" w:hAnsi="Times New Roman" w:cs="Times New Roman"/>
              </w:rPr>
              <w:t>4</w:t>
            </w:r>
            <w:r w:rsidR="0051229F" w:rsidRPr="001F5B24">
              <w:rPr>
                <w:rFonts w:ascii="Times New Roman" w:eastAsia="MS Mincho" w:hAnsi="Times New Roman" w:cs="Times New Roman"/>
              </w:rPr>
              <w:t>4</w:t>
            </w:r>
          </w:p>
        </w:tc>
      </w:tr>
    </w:tbl>
    <w:p w14:paraId="6B6DCF6A" w14:textId="77777777" w:rsidR="00712AE3" w:rsidRDefault="00712AE3" w:rsidP="009672A8">
      <w:pPr>
        <w:jc w:val="both"/>
        <w:rPr>
          <w:rFonts w:ascii="Times New Roman" w:hAnsi="Times New Roman" w:cs="Times New Roman"/>
          <w:sz w:val="24"/>
          <w:szCs w:val="24"/>
        </w:rPr>
      </w:pPr>
    </w:p>
    <w:p w14:paraId="05101D39" w14:textId="3766523D" w:rsidR="00250BFA" w:rsidRPr="001F5B24" w:rsidRDefault="00F17597" w:rsidP="009672A8">
      <w:pPr>
        <w:jc w:val="both"/>
        <w:rPr>
          <w:rFonts w:ascii="Times New Roman" w:eastAsia="MS Mincho" w:hAnsi="Times New Roman" w:cs="Times New Roman"/>
          <w:b/>
          <w:bCs/>
          <w:color w:val="4472C4" w:themeColor="accent1"/>
          <w:sz w:val="24"/>
          <w:szCs w:val="24"/>
        </w:rPr>
      </w:pPr>
      <w:r w:rsidRPr="001F5B24">
        <w:rPr>
          <w:rFonts w:ascii="Times New Roman" w:eastAsia="MS Mincho" w:hAnsi="Times New Roman" w:cs="Times New Roman"/>
          <w:b/>
          <w:bCs/>
          <w:color w:val="4472C4" w:themeColor="accent1"/>
          <w:sz w:val="24"/>
          <w:szCs w:val="24"/>
        </w:rPr>
        <w:lastRenderedPageBreak/>
        <w:t>The number of assesse</w:t>
      </w:r>
      <w:r w:rsidR="00FB6487">
        <w:rPr>
          <w:rFonts w:ascii="Times New Roman" w:eastAsia="MS Mincho" w:hAnsi="Times New Roman" w:cs="Times New Roman"/>
          <w:b/>
          <w:bCs/>
          <w:color w:val="4472C4" w:themeColor="accent1"/>
          <w:sz w:val="24"/>
          <w:szCs w:val="24"/>
        </w:rPr>
        <w:t xml:space="preserve">d </w:t>
      </w:r>
      <w:r w:rsidRPr="001F5B24">
        <w:rPr>
          <w:rFonts w:ascii="Times New Roman" w:eastAsia="MS Mincho" w:hAnsi="Times New Roman" w:cs="Times New Roman"/>
          <w:b/>
          <w:bCs/>
          <w:color w:val="4472C4" w:themeColor="accent1"/>
          <w:sz w:val="24"/>
          <w:szCs w:val="24"/>
        </w:rPr>
        <w:t>individuals by risk level, booking charge levels</w:t>
      </w:r>
      <w:r w:rsidRPr="001F5B24">
        <w:rPr>
          <w:rStyle w:val="FootnoteReference"/>
          <w:rFonts w:ascii="Times New Roman" w:eastAsia="MS Mincho" w:hAnsi="Times New Roman" w:cs="Times New Roman"/>
          <w:b/>
          <w:bCs/>
          <w:color w:val="4472C4" w:themeColor="accent1"/>
          <w:sz w:val="24"/>
          <w:szCs w:val="24"/>
        </w:rPr>
        <w:footnoteReference w:id="4"/>
      </w:r>
      <w:r w:rsidR="00DE43B8">
        <w:rPr>
          <w:rFonts w:ascii="Times New Roman" w:eastAsia="MS Mincho" w:hAnsi="Times New Roman" w:cs="Times New Roman"/>
          <w:b/>
          <w:bCs/>
          <w:color w:val="4472C4" w:themeColor="accent1"/>
          <w:sz w:val="24"/>
          <w:szCs w:val="24"/>
        </w:rPr>
        <w:t>, a</w:t>
      </w:r>
      <w:r w:rsidRPr="001F5B24">
        <w:rPr>
          <w:rFonts w:ascii="Times New Roman" w:eastAsia="MS Mincho" w:hAnsi="Times New Roman" w:cs="Times New Roman"/>
          <w:b/>
          <w:bCs/>
          <w:color w:val="4472C4" w:themeColor="accent1"/>
          <w:sz w:val="24"/>
          <w:szCs w:val="24"/>
        </w:rPr>
        <w:t xml:space="preserve">nd release type </w:t>
      </w:r>
    </w:p>
    <w:p w14:paraId="08C5480D" w14:textId="01E8C2C8" w:rsidR="00AD60C0" w:rsidRDefault="00AD60C0" w:rsidP="009672A8">
      <w:pPr>
        <w:jc w:val="both"/>
        <w:rPr>
          <w:rFonts w:ascii="Times New Roman" w:eastAsia="MS Mincho" w:hAnsi="Times New Roman" w:cs="Times New Roman"/>
          <w:sz w:val="24"/>
          <w:szCs w:val="24"/>
        </w:rPr>
      </w:pPr>
      <w:r w:rsidRPr="00AD60C0">
        <w:rPr>
          <w:rFonts w:ascii="Times New Roman" w:eastAsia="MS Mincho" w:hAnsi="Times New Roman" w:cs="Times New Roman"/>
          <w:sz w:val="24"/>
          <w:szCs w:val="24"/>
        </w:rPr>
        <w:t>The ORAS-PAT matrix defines the risk level as the following: someone who scores a two or below low-risk, an individual who scores between three or five points is a medium</w:t>
      </w:r>
      <w:r w:rsidR="00D86D8F">
        <w:rPr>
          <w:rFonts w:ascii="Times New Roman" w:eastAsia="MS Mincho" w:hAnsi="Times New Roman" w:cs="Times New Roman"/>
          <w:sz w:val="24"/>
          <w:szCs w:val="24"/>
        </w:rPr>
        <w:t>-</w:t>
      </w:r>
      <w:r w:rsidRPr="00AD60C0">
        <w:rPr>
          <w:rFonts w:ascii="Times New Roman" w:eastAsia="MS Mincho" w:hAnsi="Times New Roman" w:cs="Times New Roman"/>
          <w:sz w:val="24"/>
          <w:szCs w:val="24"/>
        </w:rPr>
        <w:t xml:space="preserve">risk, and scores of six and above are considered a high-risk. For 2019, </w:t>
      </w:r>
      <w:r w:rsidR="00E86031">
        <w:rPr>
          <w:rFonts w:ascii="Times New Roman" w:eastAsia="MS Mincho" w:hAnsi="Times New Roman" w:cs="Times New Roman"/>
          <w:sz w:val="24"/>
          <w:szCs w:val="24"/>
        </w:rPr>
        <w:t xml:space="preserve">753 </w:t>
      </w:r>
      <w:r w:rsidR="00E405F1">
        <w:rPr>
          <w:rFonts w:ascii="Times New Roman" w:eastAsia="MS Mincho" w:hAnsi="Times New Roman" w:cs="Times New Roman"/>
          <w:sz w:val="24"/>
          <w:szCs w:val="24"/>
        </w:rPr>
        <w:t>people</w:t>
      </w:r>
      <w:r w:rsidRPr="00AD60C0">
        <w:rPr>
          <w:rFonts w:ascii="Times New Roman" w:eastAsia="MS Mincho" w:hAnsi="Times New Roman" w:cs="Times New Roman"/>
          <w:sz w:val="24"/>
          <w:szCs w:val="24"/>
        </w:rPr>
        <w:t xml:space="preserve"> </w:t>
      </w:r>
      <w:r w:rsidR="00B96C19">
        <w:rPr>
          <w:rFonts w:ascii="Times New Roman" w:eastAsia="MS Mincho" w:hAnsi="Times New Roman" w:cs="Times New Roman"/>
          <w:sz w:val="24"/>
          <w:szCs w:val="24"/>
        </w:rPr>
        <w:t xml:space="preserve">were assessed. </w:t>
      </w:r>
      <w:r w:rsidRPr="00AD60C0">
        <w:rPr>
          <w:rFonts w:ascii="Times New Roman" w:eastAsia="MS Mincho" w:hAnsi="Times New Roman" w:cs="Times New Roman"/>
          <w:sz w:val="24"/>
          <w:szCs w:val="24"/>
        </w:rPr>
        <w:t xml:space="preserve">Forty-two percent of assessed </w:t>
      </w:r>
      <w:r w:rsidR="007D7385">
        <w:rPr>
          <w:rFonts w:ascii="Times New Roman" w:eastAsia="MS Mincho" w:hAnsi="Times New Roman" w:cs="Times New Roman"/>
          <w:sz w:val="24"/>
          <w:szCs w:val="24"/>
        </w:rPr>
        <w:t>were</w:t>
      </w:r>
      <w:r w:rsidRPr="00AD60C0">
        <w:rPr>
          <w:rFonts w:ascii="Times New Roman" w:eastAsia="MS Mincho" w:hAnsi="Times New Roman" w:cs="Times New Roman"/>
          <w:sz w:val="24"/>
          <w:szCs w:val="24"/>
        </w:rPr>
        <w:t xml:space="preserve"> high-risk, 40% </w:t>
      </w:r>
      <w:r w:rsidR="004C2B19">
        <w:rPr>
          <w:rFonts w:ascii="Times New Roman" w:eastAsia="MS Mincho" w:hAnsi="Times New Roman" w:cs="Times New Roman"/>
          <w:sz w:val="24"/>
          <w:szCs w:val="24"/>
        </w:rPr>
        <w:t>moderate-risk</w:t>
      </w:r>
      <w:r w:rsidRPr="00AD60C0">
        <w:rPr>
          <w:rFonts w:ascii="Times New Roman" w:eastAsia="MS Mincho" w:hAnsi="Times New Roman" w:cs="Times New Roman"/>
          <w:sz w:val="24"/>
          <w:szCs w:val="24"/>
        </w:rPr>
        <w:t xml:space="preserve">, and 17% low-risk. </w:t>
      </w:r>
      <w:r w:rsidR="00E65A98">
        <w:rPr>
          <w:rFonts w:ascii="Times New Roman" w:eastAsia="MS Mincho" w:hAnsi="Times New Roman" w:cs="Times New Roman"/>
          <w:sz w:val="24"/>
          <w:szCs w:val="24"/>
        </w:rPr>
        <w:t>Table</w:t>
      </w:r>
      <w:r w:rsidRPr="00AD60C0">
        <w:rPr>
          <w:rFonts w:ascii="Times New Roman" w:eastAsia="MS Mincho" w:hAnsi="Times New Roman" w:cs="Times New Roman"/>
          <w:sz w:val="24"/>
          <w:szCs w:val="24"/>
        </w:rPr>
        <w:t xml:space="preserve"> 3 provides a detailed breakdown of risk levels by the number of individuals and percentage. </w:t>
      </w:r>
    </w:p>
    <w:p w14:paraId="74764EDA" w14:textId="19F59D30" w:rsidR="00C83C61" w:rsidRPr="001F5B24" w:rsidRDefault="00E65A98" w:rsidP="009672A8">
      <w:pPr>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Table</w:t>
      </w:r>
      <w:r w:rsidR="00F17597" w:rsidRPr="001F5B24">
        <w:rPr>
          <w:rFonts w:ascii="Times New Roman" w:eastAsia="MS Mincho" w:hAnsi="Times New Roman" w:cs="Times New Roman"/>
          <w:b/>
          <w:bCs/>
          <w:sz w:val="24"/>
          <w:szCs w:val="24"/>
        </w:rPr>
        <w:t xml:space="preserve"> </w:t>
      </w:r>
      <w:r w:rsidR="0018624F">
        <w:rPr>
          <w:rFonts w:ascii="Times New Roman" w:eastAsia="MS Mincho" w:hAnsi="Times New Roman" w:cs="Times New Roman"/>
          <w:b/>
          <w:bCs/>
          <w:sz w:val="24"/>
          <w:szCs w:val="24"/>
        </w:rPr>
        <w:t>3</w:t>
      </w:r>
      <w:r w:rsidR="00F17597" w:rsidRPr="001F5B24">
        <w:rPr>
          <w:rFonts w:ascii="Times New Roman" w:eastAsia="MS Mincho" w:hAnsi="Times New Roman" w:cs="Times New Roman"/>
          <w:b/>
          <w:bCs/>
          <w:sz w:val="24"/>
          <w:szCs w:val="24"/>
        </w:rPr>
        <w:t xml:space="preserve">: Individuals </w:t>
      </w:r>
      <w:r w:rsidR="001233F8">
        <w:rPr>
          <w:rFonts w:ascii="Times New Roman" w:eastAsia="MS Mincho" w:hAnsi="Times New Roman" w:cs="Times New Roman"/>
          <w:b/>
          <w:bCs/>
          <w:sz w:val="24"/>
          <w:szCs w:val="24"/>
        </w:rPr>
        <w:t xml:space="preserve">Assessed </w:t>
      </w:r>
      <w:r w:rsidR="00F17597" w:rsidRPr="001F5B24">
        <w:rPr>
          <w:rFonts w:ascii="Times New Roman" w:eastAsia="MS Mincho" w:hAnsi="Times New Roman" w:cs="Times New Roman"/>
          <w:b/>
          <w:bCs/>
          <w:sz w:val="24"/>
          <w:szCs w:val="24"/>
        </w:rPr>
        <w:t xml:space="preserve">by </w:t>
      </w:r>
      <w:r w:rsidR="001233F8">
        <w:rPr>
          <w:rFonts w:ascii="Times New Roman" w:eastAsia="MS Mincho" w:hAnsi="Times New Roman" w:cs="Times New Roman"/>
          <w:b/>
          <w:bCs/>
          <w:sz w:val="24"/>
          <w:szCs w:val="24"/>
        </w:rPr>
        <w:t>R</w:t>
      </w:r>
      <w:r w:rsidR="00F17597" w:rsidRPr="001F5B24">
        <w:rPr>
          <w:rFonts w:ascii="Times New Roman" w:eastAsia="MS Mincho" w:hAnsi="Times New Roman" w:cs="Times New Roman"/>
          <w:b/>
          <w:bCs/>
          <w:sz w:val="24"/>
          <w:szCs w:val="24"/>
        </w:rPr>
        <w:t xml:space="preserve">isk </w:t>
      </w:r>
      <w:r w:rsidR="001233F8">
        <w:rPr>
          <w:rFonts w:ascii="Times New Roman" w:eastAsia="MS Mincho" w:hAnsi="Times New Roman" w:cs="Times New Roman"/>
          <w:b/>
          <w:bCs/>
          <w:sz w:val="24"/>
          <w:szCs w:val="24"/>
        </w:rPr>
        <w:t>L</w:t>
      </w:r>
      <w:r w:rsidR="00F17597" w:rsidRPr="001F5B24">
        <w:rPr>
          <w:rFonts w:ascii="Times New Roman" w:eastAsia="MS Mincho" w:hAnsi="Times New Roman" w:cs="Times New Roman"/>
          <w:b/>
          <w:bCs/>
          <w:sz w:val="24"/>
          <w:szCs w:val="24"/>
        </w:rPr>
        <w:t xml:space="preserve">evel </w:t>
      </w:r>
    </w:p>
    <w:tbl>
      <w:tblPr>
        <w:tblStyle w:val="GridTable1Light"/>
        <w:tblW w:w="0" w:type="auto"/>
        <w:tblLook w:val="04A0" w:firstRow="1" w:lastRow="0" w:firstColumn="1" w:lastColumn="0" w:noHBand="0" w:noVBand="1"/>
      </w:tblPr>
      <w:tblGrid>
        <w:gridCol w:w="2337"/>
        <w:gridCol w:w="2337"/>
        <w:gridCol w:w="2337"/>
        <w:gridCol w:w="2337"/>
      </w:tblGrid>
      <w:tr w:rsidR="00C26AA1" w:rsidRPr="001F5B24" w14:paraId="238934E6" w14:textId="77777777" w:rsidTr="00C26AA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009AE5A" w14:textId="77777777" w:rsidR="00C83C61" w:rsidRPr="001F5B24" w:rsidRDefault="00F17597"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Demographics </w:t>
            </w:r>
          </w:p>
        </w:tc>
        <w:tc>
          <w:tcPr>
            <w:tcW w:w="2337" w:type="dxa"/>
          </w:tcPr>
          <w:p w14:paraId="3E729DD8" w14:textId="77777777" w:rsidR="00C83C61" w:rsidRPr="001F5B24" w:rsidRDefault="00C83C61" w:rsidP="006C1DF2">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4E1E37B7" w14:textId="7C012888" w:rsidR="00C83C61" w:rsidRPr="001F5B24" w:rsidRDefault="00F17597"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N (</w:t>
            </w:r>
            <w:r w:rsidR="002156EF" w:rsidRPr="001F5B24">
              <w:rPr>
                <w:rFonts w:ascii="Times New Roman" w:hAnsi="Times New Roman" w:cs="Times New Roman"/>
                <w:color w:val="auto"/>
                <w:sz w:val="24"/>
                <w:szCs w:val="24"/>
              </w:rPr>
              <w:t>753</w:t>
            </w:r>
            <w:r w:rsidRPr="001F5B24">
              <w:rPr>
                <w:rFonts w:ascii="Times New Roman" w:hAnsi="Times New Roman" w:cs="Times New Roman"/>
                <w:color w:val="auto"/>
                <w:sz w:val="24"/>
                <w:szCs w:val="24"/>
              </w:rPr>
              <w:t>)</w:t>
            </w:r>
          </w:p>
        </w:tc>
        <w:tc>
          <w:tcPr>
            <w:tcW w:w="2337" w:type="dxa"/>
          </w:tcPr>
          <w:p w14:paraId="784C55EC" w14:textId="77777777" w:rsidR="00C83C61" w:rsidRPr="001F5B24" w:rsidRDefault="00F17597"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w:t>
            </w:r>
          </w:p>
        </w:tc>
      </w:tr>
      <w:tr w:rsidR="00C26AA1" w:rsidRPr="001F5B24" w14:paraId="65E02AF7" w14:textId="77777777" w:rsidTr="00C26AA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61BF2043" w14:textId="08D27901" w:rsidR="00C83C61" w:rsidRPr="001F5B24" w:rsidRDefault="00F17597"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Risk Level </w:t>
            </w:r>
          </w:p>
        </w:tc>
        <w:tc>
          <w:tcPr>
            <w:tcW w:w="2337" w:type="dxa"/>
          </w:tcPr>
          <w:p w14:paraId="7C4599D4" w14:textId="77777777" w:rsidR="00C83C61" w:rsidRPr="001F5B24" w:rsidRDefault="00C83C61"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152B6503" w14:textId="77777777" w:rsidR="00C83C61" w:rsidRPr="001F5B24" w:rsidRDefault="00C83C61"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CCED578" w14:textId="77777777" w:rsidR="00C83C61" w:rsidRPr="001F5B24" w:rsidRDefault="00C83C61"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26AA1" w:rsidRPr="001F5B24" w14:paraId="3F3BE115"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63DD45C8" w14:textId="5D48698E" w:rsidR="00C83C61" w:rsidRPr="001F5B24" w:rsidRDefault="00894229" w:rsidP="006C1DF2">
            <w:pPr>
              <w:pStyle w:val="Content"/>
              <w:rPr>
                <w:rFonts w:ascii="Times New Roman" w:hAnsi="Times New Roman" w:cs="Times New Roman"/>
                <w:color w:val="auto"/>
                <w:sz w:val="24"/>
                <w:szCs w:val="24"/>
              </w:rPr>
            </w:pPr>
            <w:r>
              <w:rPr>
                <w:rFonts w:ascii="Times New Roman" w:hAnsi="Times New Roman" w:cs="Times New Roman"/>
                <w:color w:val="auto"/>
                <w:sz w:val="24"/>
                <w:szCs w:val="24"/>
              </w:rPr>
              <w:t>0-2</w:t>
            </w:r>
          </w:p>
        </w:tc>
        <w:tc>
          <w:tcPr>
            <w:tcW w:w="2337" w:type="dxa"/>
          </w:tcPr>
          <w:p w14:paraId="3ACAF3C1" w14:textId="393422CE" w:rsidR="00C83C61" w:rsidRPr="001F5B24" w:rsidRDefault="00963EE6"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w:t>
            </w:r>
            <w:r w:rsidR="00F17597" w:rsidRPr="001F5B24">
              <w:rPr>
                <w:rFonts w:ascii="Times New Roman" w:hAnsi="Times New Roman" w:cs="Times New Roman"/>
                <w:color w:val="auto"/>
                <w:sz w:val="24"/>
                <w:szCs w:val="24"/>
              </w:rPr>
              <w:t>ow</w:t>
            </w:r>
          </w:p>
        </w:tc>
        <w:tc>
          <w:tcPr>
            <w:tcW w:w="2337" w:type="dxa"/>
          </w:tcPr>
          <w:p w14:paraId="16F614BF" w14:textId="4D2EB9BB"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135</w:t>
            </w:r>
          </w:p>
        </w:tc>
        <w:tc>
          <w:tcPr>
            <w:tcW w:w="2337" w:type="dxa"/>
          </w:tcPr>
          <w:p w14:paraId="7986B0DC" w14:textId="7FD93707"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17.93</w:t>
            </w:r>
          </w:p>
        </w:tc>
      </w:tr>
      <w:tr w:rsidR="00C26AA1" w:rsidRPr="001F5B24" w14:paraId="3D1DA0CB"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736B186" w14:textId="56B5FA22" w:rsidR="00C83C61" w:rsidRPr="001F5B24" w:rsidRDefault="00894229" w:rsidP="006C1DF2">
            <w:pPr>
              <w:pStyle w:val="Content"/>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2337" w:type="dxa"/>
          </w:tcPr>
          <w:p w14:paraId="08456C27" w14:textId="397CE2BF" w:rsidR="00C83C61" w:rsidRPr="001F5B24" w:rsidRDefault="00F1759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Moderate </w:t>
            </w:r>
          </w:p>
        </w:tc>
        <w:tc>
          <w:tcPr>
            <w:tcW w:w="2337" w:type="dxa"/>
          </w:tcPr>
          <w:p w14:paraId="6A52BB0E" w14:textId="511D8C98"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301</w:t>
            </w:r>
          </w:p>
        </w:tc>
        <w:tc>
          <w:tcPr>
            <w:tcW w:w="2337" w:type="dxa"/>
          </w:tcPr>
          <w:p w14:paraId="02DEEC58" w14:textId="298874D8"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39.97</w:t>
            </w:r>
          </w:p>
        </w:tc>
      </w:tr>
      <w:tr w:rsidR="00C26AA1" w:rsidRPr="001F5B24" w14:paraId="10112C1D"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34AE67C3" w14:textId="126DB5A5" w:rsidR="00C83C61" w:rsidRPr="001F5B24" w:rsidRDefault="00894229" w:rsidP="006C1DF2">
            <w:pPr>
              <w:pStyle w:val="Conten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337" w:type="dxa"/>
          </w:tcPr>
          <w:p w14:paraId="21CF706B" w14:textId="1A5C25A8" w:rsidR="00C83C61" w:rsidRPr="001F5B24" w:rsidRDefault="00F1759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2337" w:type="dxa"/>
          </w:tcPr>
          <w:p w14:paraId="2E1884C6" w14:textId="6EA3AEEF"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317</w:t>
            </w:r>
          </w:p>
        </w:tc>
        <w:tc>
          <w:tcPr>
            <w:tcW w:w="2337" w:type="dxa"/>
          </w:tcPr>
          <w:p w14:paraId="7DAA79D7" w14:textId="11F90EA7" w:rsidR="00C83C61"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42.10</w:t>
            </w:r>
          </w:p>
        </w:tc>
      </w:tr>
    </w:tbl>
    <w:p w14:paraId="028C270A" w14:textId="77777777" w:rsidR="00796A3D" w:rsidRDefault="00796A3D" w:rsidP="00796A3D">
      <w:pPr>
        <w:spacing w:after="0"/>
        <w:jc w:val="both"/>
        <w:rPr>
          <w:rFonts w:ascii="Times New Roman" w:hAnsi="Times New Roman" w:cs="Times New Roman"/>
          <w:b/>
          <w:bCs/>
          <w:sz w:val="24"/>
          <w:szCs w:val="24"/>
        </w:rPr>
      </w:pPr>
    </w:p>
    <w:p w14:paraId="7268E75E" w14:textId="6947CCE4" w:rsidR="00250BFA" w:rsidRDefault="00DB08ED" w:rsidP="00796A3D">
      <w:pPr>
        <w:spacing w:after="0"/>
        <w:jc w:val="both"/>
        <w:rPr>
          <w:rFonts w:ascii="Times New Roman" w:hAnsi="Times New Roman" w:cs="Times New Roman"/>
          <w:b/>
          <w:bCs/>
          <w:sz w:val="24"/>
          <w:szCs w:val="24"/>
        </w:rPr>
      </w:pPr>
      <w:r w:rsidRPr="00615492">
        <w:rPr>
          <w:rFonts w:ascii="Times New Roman" w:hAnsi="Times New Roman" w:cs="Times New Roman"/>
          <w:b/>
          <w:bCs/>
          <w:noProof/>
          <w:sz w:val="24"/>
          <w:szCs w:val="24"/>
        </w:rPr>
        <w:drawing>
          <wp:anchor distT="0" distB="0" distL="114300" distR="114300" simplePos="0" relativeHeight="251666432" behindDoc="1" locked="0" layoutInCell="1" allowOverlap="1" wp14:anchorId="0D6A1C28" wp14:editId="6352F7CB">
            <wp:simplePos x="0" y="0"/>
            <wp:positionH relativeFrom="margin">
              <wp:align>left</wp:align>
            </wp:positionH>
            <wp:positionV relativeFrom="paragraph">
              <wp:posOffset>287020</wp:posOffset>
            </wp:positionV>
            <wp:extent cx="3333115" cy="1806575"/>
            <wp:effectExtent l="0" t="0" r="635" b="3175"/>
            <wp:wrapTight wrapText="bothSides">
              <wp:wrapPolygon edited="0">
                <wp:start x="0" y="0"/>
                <wp:lineTo x="0" y="21410"/>
                <wp:lineTo x="21481" y="21410"/>
                <wp:lineTo x="2148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42FAB">
        <w:rPr>
          <w:rFonts w:ascii="Times New Roman" w:hAnsi="Times New Roman" w:cs="Times New Roman"/>
          <w:b/>
          <w:bCs/>
          <w:sz w:val="24"/>
          <w:szCs w:val="24"/>
        </w:rPr>
        <w:t>Figure</w:t>
      </w:r>
      <w:r w:rsidR="00F17597" w:rsidRPr="001F5B24">
        <w:rPr>
          <w:rFonts w:ascii="Times New Roman" w:hAnsi="Times New Roman" w:cs="Times New Roman"/>
          <w:b/>
          <w:bCs/>
          <w:sz w:val="24"/>
          <w:szCs w:val="24"/>
        </w:rPr>
        <w:t xml:space="preserve"> </w:t>
      </w:r>
      <w:r w:rsidR="002B72D1">
        <w:rPr>
          <w:rFonts w:ascii="Times New Roman" w:hAnsi="Times New Roman" w:cs="Times New Roman"/>
          <w:b/>
          <w:bCs/>
          <w:sz w:val="24"/>
          <w:szCs w:val="24"/>
        </w:rPr>
        <w:t>1</w:t>
      </w:r>
      <w:r w:rsidR="00F17597" w:rsidRPr="001F5B24">
        <w:rPr>
          <w:rFonts w:ascii="Times New Roman" w:hAnsi="Times New Roman" w:cs="Times New Roman"/>
          <w:b/>
          <w:bCs/>
          <w:sz w:val="24"/>
          <w:szCs w:val="24"/>
        </w:rPr>
        <w:t xml:space="preserve">: </w:t>
      </w:r>
      <w:r w:rsidR="001233F8">
        <w:rPr>
          <w:rFonts w:ascii="Times New Roman" w:hAnsi="Times New Roman" w:cs="Times New Roman"/>
          <w:b/>
          <w:bCs/>
          <w:sz w:val="24"/>
          <w:szCs w:val="24"/>
        </w:rPr>
        <w:t xml:space="preserve">Individuals Assessed by </w:t>
      </w:r>
      <w:r w:rsidR="00F17597" w:rsidRPr="001F5B24">
        <w:rPr>
          <w:rFonts w:ascii="Times New Roman" w:hAnsi="Times New Roman" w:cs="Times New Roman"/>
          <w:b/>
          <w:bCs/>
          <w:sz w:val="24"/>
          <w:szCs w:val="24"/>
        </w:rPr>
        <w:t xml:space="preserve">Release </w:t>
      </w:r>
      <w:r w:rsidR="001233F8">
        <w:rPr>
          <w:rFonts w:ascii="Times New Roman" w:hAnsi="Times New Roman" w:cs="Times New Roman"/>
          <w:b/>
          <w:bCs/>
          <w:sz w:val="24"/>
          <w:szCs w:val="24"/>
        </w:rPr>
        <w:t>T</w:t>
      </w:r>
      <w:r w:rsidR="00F17597" w:rsidRPr="001F5B24">
        <w:rPr>
          <w:rFonts w:ascii="Times New Roman" w:hAnsi="Times New Roman" w:cs="Times New Roman"/>
          <w:b/>
          <w:bCs/>
          <w:sz w:val="24"/>
          <w:szCs w:val="24"/>
        </w:rPr>
        <w:t xml:space="preserve">ype </w:t>
      </w:r>
      <w:r w:rsidR="00FB5F42">
        <w:rPr>
          <w:rFonts w:ascii="Times New Roman" w:hAnsi="Times New Roman" w:cs="Times New Roman"/>
          <w:b/>
          <w:bCs/>
          <w:sz w:val="24"/>
          <w:szCs w:val="24"/>
        </w:rPr>
        <w:t>(n=745)</w:t>
      </w:r>
    </w:p>
    <w:p w14:paraId="03DE6E7B" w14:textId="5824312B" w:rsidR="00BC126C" w:rsidRPr="00796A3D" w:rsidRDefault="0072228D" w:rsidP="005F2960">
      <w:pPr>
        <w:spacing w:after="0"/>
        <w:jc w:val="both"/>
        <w:rPr>
          <w:rFonts w:ascii="Times New Roman" w:hAnsi="Times New Roman" w:cs="Times New Roman"/>
          <w:sz w:val="24"/>
          <w:szCs w:val="24"/>
        </w:rPr>
      </w:pPr>
      <w:r w:rsidRPr="0072228D">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72228D">
        <w:rPr>
          <w:rFonts w:ascii="Times New Roman" w:hAnsi="Times New Roman" w:cs="Times New Roman"/>
          <w:sz w:val="24"/>
          <w:szCs w:val="24"/>
        </w:rPr>
        <w:t xml:space="preserve"> 1, out of the 745 individuals assessed, 160 were released on pretrial supervision, 96 were released on own recognizance release (ORR), and 489 were denied program release. Although more individuals were granted pretrial supervision, only those assessed by ORAS-PAT are reported in </w:t>
      </w:r>
      <w:r w:rsidR="00E42FAB">
        <w:rPr>
          <w:rFonts w:ascii="Times New Roman" w:hAnsi="Times New Roman" w:cs="Times New Roman"/>
          <w:sz w:val="24"/>
          <w:szCs w:val="24"/>
        </w:rPr>
        <w:t>Figure</w:t>
      </w:r>
      <w:r w:rsidRPr="0072228D">
        <w:rPr>
          <w:rFonts w:ascii="Times New Roman" w:hAnsi="Times New Roman" w:cs="Times New Roman"/>
          <w:sz w:val="24"/>
          <w:szCs w:val="24"/>
        </w:rPr>
        <w:t xml:space="preserve"> 1. The difference between 753 and 745 is due to another release</w:t>
      </w:r>
      <w:r w:rsidR="00FA1258">
        <w:rPr>
          <w:rFonts w:ascii="Times New Roman" w:hAnsi="Times New Roman" w:cs="Times New Roman"/>
          <w:sz w:val="24"/>
          <w:szCs w:val="24"/>
        </w:rPr>
        <w:t xml:space="preserve"> type</w:t>
      </w:r>
      <w:r w:rsidRPr="0072228D">
        <w:rPr>
          <w:rFonts w:ascii="Times New Roman" w:hAnsi="Times New Roman" w:cs="Times New Roman"/>
          <w:sz w:val="24"/>
          <w:szCs w:val="24"/>
        </w:rPr>
        <w:t>, possibly by bail.</w:t>
      </w:r>
    </w:p>
    <w:p w14:paraId="68F21B6D" w14:textId="77777777" w:rsidR="00BC126C" w:rsidRDefault="00BC126C" w:rsidP="005F2960">
      <w:pPr>
        <w:spacing w:after="0"/>
        <w:jc w:val="both"/>
        <w:rPr>
          <w:rFonts w:ascii="Times New Roman" w:hAnsi="Times New Roman" w:cs="Times New Roman"/>
          <w:b/>
          <w:bCs/>
          <w:sz w:val="24"/>
          <w:szCs w:val="24"/>
        </w:rPr>
      </w:pPr>
    </w:p>
    <w:p w14:paraId="22B75358" w14:textId="1D420F6A" w:rsidR="00DB08ED" w:rsidRPr="00FB6778" w:rsidRDefault="00E42FAB" w:rsidP="005F2960">
      <w:pPr>
        <w:spacing w:after="0"/>
        <w:jc w:val="both"/>
        <w:rPr>
          <w:rFonts w:ascii="Times New Roman" w:hAnsi="Times New Roman" w:cs="Times New Roman"/>
          <w:b/>
          <w:bCs/>
          <w:sz w:val="24"/>
          <w:szCs w:val="24"/>
        </w:rPr>
      </w:pPr>
      <w:r>
        <w:rPr>
          <w:rFonts w:ascii="Times New Roman" w:hAnsi="Times New Roman" w:cs="Times New Roman"/>
          <w:b/>
          <w:bCs/>
          <w:sz w:val="24"/>
          <w:szCs w:val="24"/>
        </w:rPr>
        <w:t>Figure</w:t>
      </w:r>
      <w:r w:rsidR="00FB6778" w:rsidRPr="00FB6778">
        <w:rPr>
          <w:rFonts w:ascii="Times New Roman" w:hAnsi="Times New Roman" w:cs="Times New Roman"/>
          <w:b/>
          <w:bCs/>
          <w:sz w:val="24"/>
          <w:szCs w:val="24"/>
        </w:rPr>
        <w:t xml:space="preserve"> </w:t>
      </w:r>
      <w:r w:rsidR="002B72D1">
        <w:rPr>
          <w:rFonts w:ascii="Times New Roman" w:hAnsi="Times New Roman" w:cs="Times New Roman"/>
          <w:b/>
          <w:bCs/>
          <w:sz w:val="24"/>
          <w:szCs w:val="24"/>
        </w:rPr>
        <w:t>2</w:t>
      </w:r>
      <w:r w:rsidR="00FB6778" w:rsidRPr="00FB6778">
        <w:rPr>
          <w:rFonts w:ascii="Times New Roman" w:hAnsi="Times New Roman" w:cs="Times New Roman"/>
          <w:b/>
          <w:bCs/>
          <w:sz w:val="24"/>
          <w:szCs w:val="24"/>
        </w:rPr>
        <w:t xml:space="preserve">: Risk Level by Release Type </w:t>
      </w:r>
      <w:r w:rsidR="00FB5F42">
        <w:rPr>
          <w:rFonts w:ascii="Times New Roman" w:hAnsi="Times New Roman" w:cs="Times New Roman"/>
          <w:b/>
          <w:bCs/>
          <w:sz w:val="24"/>
          <w:szCs w:val="24"/>
        </w:rPr>
        <w:t xml:space="preserve">(n=745) </w:t>
      </w:r>
    </w:p>
    <w:p w14:paraId="101B31F3" w14:textId="2D7A42F3" w:rsidR="00DB08ED" w:rsidRPr="00CE301B" w:rsidRDefault="00FB6778" w:rsidP="00250BFA">
      <w:pPr>
        <w:jc w:val="both"/>
        <w:rPr>
          <w:rFonts w:ascii="Times New Roman" w:hAnsi="Times New Roman" w:cs="Times New Roman"/>
          <w:sz w:val="24"/>
          <w:szCs w:val="24"/>
        </w:rPr>
      </w:pPr>
      <w:r w:rsidRPr="001F5B24">
        <w:rPr>
          <w:rFonts w:ascii="Times New Roman" w:hAnsi="Times New Roman" w:cs="Times New Roman"/>
          <w:i/>
          <w:iCs/>
          <w:noProof/>
          <w:sz w:val="24"/>
          <w:szCs w:val="24"/>
        </w:rPr>
        <w:drawing>
          <wp:anchor distT="0" distB="0" distL="114300" distR="114300" simplePos="0" relativeHeight="251670528" behindDoc="1" locked="0" layoutInCell="1" allowOverlap="1" wp14:anchorId="4F655CF2" wp14:editId="5945BC16">
            <wp:simplePos x="0" y="0"/>
            <wp:positionH relativeFrom="margin">
              <wp:align>left</wp:align>
            </wp:positionH>
            <wp:positionV relativeFrom="paragraph">
              <wp:posOffset>9525</wp:posOffset>
            </wp:positionV>
            <wp:extent cx="3441065" cy="2282825"/>
            <wp:effectExtent l="0" t="0" r="6985" b="3175"/>
            <wp:wrapTight wrapText="bothSides">
              <wp:wrapPolygon edited="0">
                <wp:start x="0" y="0"/>
                <wp:lineTo x="0" y="21450"/>
                <wp:lineTo x="21524" y="21450"/>
                <wp:lineTo x="21524"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42FAB">
        <w:rPr>
          <w:rFonts w:ascii="Times New Roman" w:hAnsi="Times New Roman" w:cs="Times New Roman"/>
          <w:sz w:val="24"/>
          <w:szCs w:val="24"/>
        </w:rPr>
        <w:t>Figure</w:t>
      </w:r>
      <w:r w:rsidR="00AA57C1" w:rsidRPr="00AA57C1">
        <w:rPr>
          <w:rFonts w:ascii="Times New Roman" w:hAnsi="Times New Roman" w:cs="Times New Roman"/>
          <w:sz w:val="24"/>
          <w:szCs w:val="24"/>
        </w:rPr>
        <w:t xml:space="preserve"> 2 illustrates the number of individuals released by risk level. </w:t>
      </w:r>
      <w:r w:rsidR="00CB7680">
        <w:rPr>
          <w:rFonts w:ascii="Times New Roman" w:hAnsi="Times New Roman" w:cs="Times New Roman"/>
          <w:sz w:val="24"/>
          <w:szCs w:val="24"/>
        </w:rPr>
        <w:t>O</w:t>
      </w:r>
      <w:r w:rsidR="00AA57C1" w:rsidRPr="00AA57C1">
        <w:rPr>
          <w:rFonts w:ascii="Times New Roman" w:hAnsi="Times New Roman" w:cs="Times New Roman"/>
          <w:sz w:val="24"/>
          <w:szCs w:val="24"/>
        </w:rPr>
        <w:t xml:space="preserve">ut of the 131 determined low-risk, 43% </w:t>
      </w:r>
      <w:r w:rsidR="00457E47">
        <w:rPr>
          <w:rFonts w:ascii="Times New Roman" w:hAnsi="Times New Roman" w:cs="Times New Roman"/>
          <w:sz w:val="24"/>
          <w:szCs w:val="24"/>
        </w:rPr>
        <w:t>we</w:t>
      </w:r>
      <w:r w:rsidR="00ED671A">
        <w:rPr>
          <w:rFonts w:ascii="Times New Roman" w:hAnsi="Times New Roman" w:cs="Times New Roman"/>
          <w:sz w:val="24"/>
          <w:szCs w:val="24"/>
        </w:rPr>
        <w:t>re</w:t>
      </w:r>
      <w:r w:rsidR="00AA57C1" w:rsidRPr="00AA57C1">
        <w:rPr>
          <w:rFonts w:ascii="Times New Roman" w:hAnsi="Times New Roman" w:cs="Times New Roman"/>
          <w:sz w:val="24"/>
          <w:szCs w:val="24"/>
        </w:rPr>
        <w:t xml:space="preserve"> released on ORR or pretrial supervision. Approximately 4</w:t>
      </w:r>
      <w:r w:rsidR="00453BE8">
        <w:rPr>
          <w:rFonts w:ascii="Times New Roman" w:hAnsi="Times New Roman" w:cs="Times New Roman"/>
          <w:sz w:val="24"/>
          <w:szCs w:val="24"/>
        </w:rPr>
        <w:t>7</w:t>
      </w:r>
      <w:r w:rsidR="00AA57C1" w:rsidRPr="00AA57C1">
        <w:rPr>
          <w:rFonts w:ascii="Times New Roman" w:hAnsi="Times New Roman" w:cs="Times New Roman"/>
          <w:sz w:val="24"/>
          <w:szCs w:val="24"/>
        </w:rPr>
        <w:t xml:space="preserve">% categorized as moderate </w:t>
      </w:r>
      <w:r w:rsidR="00ED671A">
        <w:rPr>
          <w:rFonts w:ascii="Times New Roman" w:hAnsi="Times New Roman" w:cs="Times New Roman"/>
          <w:sz w:val="24"/>
          <w:szCs w:val="24"/>
        </w:rPr>
        <w:t>were</w:t>
      </w:r>
      <w:r w:rsidR="00AA57C1" w:rsidRPr="00AA57C1">
        <w:rPr>
          <w:rFonts w:ascii="Times New Roman" w:hAnsi="Times New Roman" w:cs="Times New Roman"/>
          <w:sz w:val="24"/>
          <w:szCs w:val="24"/>
        </w:rPr>
        <w:t xml:space="preserve"> released on ORR or pretrial supervision. In comparison, only 17</w:t>
      </w:r>
      <w:r w:rsidR="0038201D" w:rsidRPr="00AA57C1">
        <w:rPr>
          <w:rFonts w:ascii="Times New Roman" w:hAnsi="Times New Roman" w:cs="Times New Roman"/>
          <w:sz w:val="24"/>
          <w:szCs w:val="24"/>
        </w:rPr>
        <w:t>% of</w:t>
      </w:r>
      <w:r w:rsidR="00AA57C1" w:rsidRPr="00AA57C1">
        <w:rPr>
          <w:rFonts w:ascii="Times New Roman" w:hAnsi="Times New Roman" w:cs="Times New Roman"/>
          <w:sz w:val="24"/>
          <w:szCs w:val="24"/>
        </w:rPr>
        <w:t xml:space="preserve"> high-risk levels </w:t>
      </w:r>
      <w:r w:rsidR="00FD2CBF">
        <w:rPr>
          <w:rFonts w:ascii="Times New Roman" w:hAnsi="Times New Roman" w:cs="Times New Roman"/>
          <w:sz w:val="24"/>
          <w:szCs w:val="24"/>
        </w:rPr>
        <w:t>were</w:t>
      </w:r>
      <w:r w:rsidR="00AA57C1" w:rsidRPr="00AA57C1">
        <w:rPr>
          <w:rFonts w:ascii="Times New Roman" w:hAnsi="Times New Roman" w:cs="Times New Roman"/>
          <w:sz w:val="24"/>
          <w:szCs w:val="24"/>
        </w:rPr>
        <w:t xml:space="preserve"> released on ORR or pretrial supervision. </w:t>
      </w:r>
      <w:r w:rsidR="00F62AA7">
        <w:rPr>
          <w:rFonts w:ascii="Times New Roman" w:hAnsi="Times New Roman" w:cs="Times New Roman"/>
          <w:sz w:val="24"/>
          <w:szCs w:val="24"/>
        </w:rPr>
        <w:t>Thus, not</w:t>
      </w:r>
      <w:r w:rsidR="00AA57C1" w:rsidRPr="00AA57C1">
        <w:rPr>
          <w:rFonts w:ascii="Times New Roman" w:hAnsi="Times New Roman" w:cs="Times New Roman"/>
          <w:sz w:val="24"/>
          <w:szCs w:val="24"/>
        </w:rPr>
        <w:t xml:space="preserve"> all individuals who </w:t>
      </w:r>
      <w:r w:rsidR="00ED671A">
        <w:rPr>
          <w:rFonts w:ascii="Times New Roman" w:hAnsi="Times New Roman" w:cs="Times New Roman"/>
          <w:sz w:val="24"/>
          <w:szCs w:val="24"/>
        </w:rPr>
        <w:t>are</w:t>
      </w:r>
      <w:r w:rsidR="00AA57C1" w:rsidRPr="00AA57C1">
        <w:rPr>
          <w:rFonts w:ascii="Times New Roman" w:hAnsi="Times New Roman" w:cs="Times New Roman"/>
          <w:sz w:val="24"/>
          <w:szCs w:val="24"/>
        </w:rPr>
        <w:t xml:space="preserve"> scored low are released on pretrial supervision or ORR. The </w:t>
      </w:r>
      <w:r w:rsidR="00AA57C1" w:rsidRPr="00AA57C1">
        <w:rPr>
          <w:rFonts w:ascii="Times New Roman" w:hAnsi="Times New Roman" w:cs="Times New Roman"/>
          <w:sz w:val="24"/>
          <w:szCs w:val="24"/>
        </w:rPr>
        <w:lastRenderedPageBreak/>
        <w:t xml:space="preserve">decision to release individuals is ultimately the Court's decision regardless of </w:t>
      </w:r>
      <w:r w:rsidR="009034E2">
        <w:rPr>
          <w:rFonts w:ascii="Times New Roman" w:hAnsi="Times New Roman" w:cs="Times New Roman"/>
          <w:sz w:val="24"/>
          <w:szCs w:val="24"/>
        </w:rPr>
        <w:t>P</w:t>
      </w:r>
      <w:r w:rsidR="00AA57C1" w:rsidRPr="00AA57C1">
        <w:rPr>
          <w:rFonts w:ascii="Times New Roman" w:hAnsi="Times New Roman" w:cs="Times New Roman"/>
          <w:sz w:val="24"/>
          <w:szCs w:val="24"/>
        </w:rPr>
        <w:t>robation recommendation</w:t>
      </w:r>
      <w:r w:rsidR="00EA6BE6">
        <w:rPr>
          <w:rFonts w:ascii="Times New Roman" w:hAnsi="Times New Roman" w:cs="Times New Roman"/>
          <w:sz w:val="24"/>
          <w:szCs w:val="24"/>
        </w:rPr>
        <w:t xml:space="preserve">. </w:t>
      </w:r>
    </w:p>
    <w:p w14:paraId="4F1837E3" w14:textId="7ECE7F02" w:rsidR="00250BFA" w:rsidRPr="001F5B24" w:rsidRDefault="00F17597" w:rsidP="00250BFA">
      <w:pPr>
        <w:jc w:val="both"/>
        <w:rPr>
          <w:rFonts w:ascii="Times New Roman" w:eastAsia="MS Mincho" w:hAnsi="Times New Roman" w:cs="Times New Roman"/>
          <w:b/>
          <w:bCs/>
          <w:color w:val="4472C4" w:themeColor="accent1"/>
          <w:sz w:val="24"/>
          <w:szCs w:val="24"/>
        </w:rPr>
      </w:pPr>
      <w:r w:rsidRPr="001F5B24">
        <w:rPr>
          <w:rFonts w:ascii="Times New Roman" w:eastAsia="MS Mincho" w:hAnsi="Times New Roman" w:cs="Times New Roman"/>
          <w:b/>
          <w:bCs/>
          <w:color w:val="4472C4" w:themeColor="accent1"/>
          <w:sz w:val="24"/>
          <w:szCs w:val="24"/>
        </w:rPr>
        <w:t>The number and percentage of assessed individuals who receive pretrial supervision by the level of supervision</w:t>
      </w:r>
    </w:p>
    <w:p w14:paraId="19D89E6D" w14:textId="2920E9E2" w:rsidR="00072AF8" w:rsidRDefault="00E65A98" w:rsidP="00250BFA">
      <w:pPr>
        <w:jc w:val="both"/>
        <w:rPr>
          <w:rFonts w:ascii="Times New Roman" w:eastAsia="MS Mincho" w:hAnsi="Times New Roman" w:cs="Times New Roman"/>
          <w:sz w:val="24"/>
          <w:szCs w:val="24"/>
        </w:rPr>
      </w:pPr>
      <w:r>
        <w:rPr>
          <w:rFonts w:ascii="Times New Roman" w:eastAsia="MS Mincho" w:hAnsi="Times New Roman" w:cs="Times New Roman"/>
          <w:sz w:val="24"/>
          <w:szCs w:val="24"/>
        </w:rPr>
        <w:t>Table</w:t>
      </w:r>
      <w:r w:rsidR="00072AF8" w:rsidRPr="00072AF8">
        <w:rPr>
          <w:rFonts w:ascii="Times New Roman" w:eastAsia="MS Mincho" w:hAnsi="Times New Roman" w:cs="Times New Roman"/>
          <w:sz w:val="24"/>
          <w:szCs w:val="24"/>
        </w:rPr>
        <w:t xml:space="preserve"> 4 describes those individuals who received pretrial supervision </w:t>
      </w:r>
      <w:r w:rsidR="009842EB">
        <w:rPr>
          <w:rFonts w:ascii="Times New Roman" w:eastAsia="MS Mincho" w:hAnsi="Times New Roman" w:cs="Times New Roman"/>
          <w:sz w:val="24"/>
          <w:szCs w:val="24"/>
        </w:rPr>
        <w:t xml:space="preserve">by their </w:t>
      </w:r>
      <w:r w:rsidR="00072AF8" w:rsidRPr="00072AF8">
        <w:rPr>
          <w:rFonts w:ascii="Times New Roman" w:eastAsia="MS Mincho" w:hAnsi="Times New Roman" w:cs="Times New Roman"/>
          <w:sz w:val="24"/>
          <w:szCs w:val="24"/>
        </w:rPr>
        <w:t xml:space="preserve">risk level. Most of the individuals who </w:t>
      </w:r>
      <w:r w:rsidR="009842EB">
        <w:rPr>
          <w:rFonts w:ascii="Times New Roman" w:eastAsia="MS Mincho" w:hAnsi="Times New Roman" w:cs="Times New Roman"/>
          <w:sz w:val="24"/>
          <w:szCs w:val="24"/>
        </w:rPr>
        <w:t>were</w:t>
      </w:r>
      <w:r w:rsidR="00072AF8" w:rsidRPr="00072AF8">
        <w:rPr>
          <w:rFonts w:ascii="Times New Roman" w:eastAsia="MS Mincho" w:hAnsi="Times New Roman" w:cs="Times New Roman"/>
          <w:sz w:val="24"/>
          <w:szCs w:val="24"/>
        </w:rPr>
        <w:t xml:space="preserve"> under pretrial supervision </w:t>
      </w:r>
      <w:r w:rsidR="009842EB">
        <w:rPr>
          <w:rFonts w:ascii="Times New Roman" w:eastAsia="MS Mincho" w:hAnsi="Times New Roman" w:cs="Times New Roman"/>
          <w:sz w:val="24"/>
          <w:szCs w:val="24"/>
        </w:rPr>
        <w:t>were</w:t>
      </w:r>
      <w:r w:rsidR="00072AF8" w:rsidRPr="00072AF8">
        <w:rPr>
          <w:rFonts w:ascii="Times New Roman" w:eastAsia="MS Mincho" w:hAnsi="Times New Roman" w:cs="Times New Roman"/>
          <w:sz w:val="24"/>
          <w:szCs w:val="24"/>
        </w:rPr>
        <w:t xml:space="preserve"> at a moderate level of supervision. This </w:t>
      </w:r>
      <w:r w:rsidR="001F08D0">
        <w:rPr>
          <w:rFonts w:ascii="Times New Roman" w:eastAsia="MS Mincho" w:hAnsi="Times New Roman" w:cs="Times New Roman"/>
          <w:sz w:val="24"/>
          <w:szCs w:val="24"/>
        </w:rPr>
        <w:t>t</w:t>
      </w:r>
      <w:r>
        <w:rPr>
          <w:rFonts w:ascii="Times New Roman" w:eastAsia="MS Mincho" w:hAnsi="Times New Roman" w:cs="Times New Roman"/>
          <w:sz w:val="24"/>
          <w:szCs w:val="24"/>
        </w:rPr>
        <w:t>able</w:t>
      </w:r>
      <w:r w:rsidR="00072AF8" w:rsidRPr="00072AF8">
        <w:rPr>
          <w:rFonts w:ascii="Times New Roman" w:eastAsia="MS Mincho" w:hAnsi="Times New Roman" w:cs="Times New Roman"/>
          <w:sz w:val="24"/>
          <w:szCs w:val="24"/>
        </w:rPr>
        <w:t xml:space="preserve"> is different from </w:t>
      </w:r>
      <w:r w:rsidR="00E42FAB">
        <w:rPr>
          <w:rFonts w:ascii="Times New Roman" w:eastAsia="MS Mincho" w:hAnsi="Times New Roman" w:cs="Times New Roman"/>
          <w:sz w:val="24"/>
          <w:szCs w:val="24"/>
        </w:rPr>
        <w:t>Figure</w:t>
      </w:r>
      <w:r w:rsidR="00072AF8" w:rsidRPr="00072AF8">
        <w:rPr>
          <w:rFonts w:ascii="Times New Roman" w:eastAsia="MS Mincho" w:hAnsi="Times New Roman" w:cs="Times New Roman"/>
          <w:sz w:val="24"/>
          <w:szCs w:val="24"/>
        </w:rPr>
        <w:t xml:space="preserve"> 2 since </w:t>
      </w:r>
      <w:r w:rsidR="00E42FAB">
        <w:rPr>
          <w:rFonts w:ascii="Times New Roman" w:eastAsia="MS Mincho" w:hAnsi="Times New Roman" w:cs="Times New Roman"/>
          <w:sz w:val="24"/>
          <w:szCs w:val="24"/>
        </w:rPr>
        <w:t>Figure</w:t>
      </w:r>
      <w:r w:rsidR="00072AF8" w:rsidRPr="00072AF8">
        <w:rPr>
          <w:rFonts w:ascii="Times New Roman" w:eastAsia="MS Mincho" w:hAnsi="Times New Roman" w:cs="Times New Roman"/>
          <w:sz w:val="24"/>
          <w:szCs w:val="24"/>
        </w:rPr>
        <w:t xml:space="preserve"> 2 captures release type, including ORR and those denied pretrial, while </w:t>
      </w:r>
      <w:r>
        <w:rPr>
          <w:rFonts w:ascii="Times New Roman" w:eastAsia="MS Mincho" w:hAnsi="Times New Roman" w:cs="Times New Roman"/>
          <w:sz w:val="24"/>
          <w:szCs w:val="24"/>
        </w:rPr>
        <w:t>Table</w:t>
      </w:r>
      <w:r w:rsidR="00072AF8" w:rsidRPr="00072AF8">
        <w:rPr>
          <w:rFonts w:ascii="Times New Roman" w:eastAsia="MS Mincho" w:hAnsi="Times New Roman" w:cs="Times New Roman"/>
          <w:sz w:val="24"/>
          <w:szCs w:val="24"/>
        </w:rPr>
        <w:t xml:space="preserve"> 4 captures those on pretrial supervision.  </w:t>
      </w:r>
    </w:p>
    <w:p w14:paraId="31C46FEA" w14:textId="40899CCB" w:rsidR="00863187" w:rsidRPr="001F5B24" w:rsidRDefault="00E65A98" w:rsidP="00250BFA">
      <w:pPr>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Table</w:t>
      </w:r>
      <w:r w:rsidR="00F17597" w:rsidRPr="001F5B24">
        <w:rPr>
          <w:rFonts w:ascii="Times New Roman" w:eastAsia="MS Mincho" w:hAnsi="Times New Roman" w:cs="Times New Roman"/>
          <w:b/>
          <w:bCs/>
          <w:sz w:val="24"/>
          <w:szCs w:val="24"/>
        </w:rPr>
        <w:t xml:space="preserve"> 4: </w:t>
      </w:r>
      <w:r w:rsidR="00E40785">
        <w:rPr>
          <w:rFonts w:ascii="Times New Roman" w:eastAsia="MS Mincho" w:hAnsi="Times New Roman" w:cs="Times New Roman"/>
          <w:b/>
          <w:bCs/>
          <w:sz w:val="24"/>
          <w:szCs w:val="24"/>
        </w:rPr>
        <w:t>P</w:t>
      </w:r>
      <w:r w:rsidR="00F17597" w:rsidRPr="001F5B24">
        <w:rPr>
          <w:rFonts w:ascii="Times New Roman" w:eastAsia="MS Mincho" w:hAnsi="Times New Roman" w:cs="Times New Roman"/>
          <w:b/>
          <w:bCs/>
          <w:sz w:val="24"/>
          <w:szCs w:val="24"/>
        </w:rPr>
        <w:t xml:space="preserve">retrial supervision by the </w:t>
      </w:r>
      <w:r w:rsidR="00E40785">
        <w:rPr>
          <w:rFonts w:ascii="Times New Roman" w:eastAsia="MS Mincho" w:hAnsi="Times New Roman" w:cs="Times New Roman"/>
          <w:b/>
          <w:bCs/>
          <w:sz w:val="24"/>
          <w:szCs w:val="24"/>
        </w:rPr>
        <w:t>risk level</w:t>
      </w:r>
      <w:r w:rsidR="00E40785">
        <w:rPr>
          <w:rStyle w:val="FootnoteReference"/>
          <w:rFonts w:ascii="Times New Roman" w:eastAsia="MS Mincho" w:hAnsi="Times New Roman" w:cs="Times New Roman"/>
          <w:b/>
          <w:bCs/>
          <w:sz w:val="24"/>
          <w:szCs w:val="24"/>
        </w:rPr>
        <w:footnoteReference w:id="5"/>
      </w:r>
      <w:r w:rsidR="0053311B">
        <w:rPr>
          <w:rFonts w:ascii="Times New Roman" w:eastAsia="MS Mincho" w:hAnsi="Times New Roman" w:cs="Times New Roman"/>
          <w:b/>
          <w:bCs/>
          <w:sz w:val="24"/>
          <w:szCs w:val="24"/>
        </w:rPr>
        <w:t xml:space="preserve"> (n=160)</w:t>
      </w:r>
    </w:p>
    <w:tbl>
      <w:tblPr>
        <w:tblStyle w:val="GridTable1Light"/>
        <w:tblW w:w="0" w:type="auto"/>
        <w:tblLook w:val="04A0" w:firstRow="1" w:lastRow="0" w:firstColumn="1" w:lastColumn="0" w:noHBand="0" w:noVBand="1"/>
      </w:tblPr>
      <w:tblGrid>
        <w:gridCol w:w="2337"/>
        <w:gridCol w:w="2337"/>
        <w:gridCol w:w="2337"/>
        <w:gridCol w:w="2337"/>
      </w:tblGrid>
      <w:tr w:rsidR="00C26AA1" w:rsidRPr="001F5B24" w14:paraId="3877604D" w14:textId="77777777" w:rsidTr="00C26AA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2FBA36D" w14:textId="77777777" w:rsidR="00863187" w:rsidRPr="001F5B24" w:rsidRDefault="00F17597"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Demographics </w:t>
            </w:r>
          </w:p>
        </w:tc>
        <w:tc>
          <w:tcPr>
            <w:tcW w:w="2337" w:type="dxa"/>
          </w:tcPr>
          <w:p w14:paraId="3AB993B2" w14:textId="77777777" w:rsidR="00863187" w:rsidRPr="001F5B24" w:rsidRDefault="00863187" w:rsidP="006C1DF2">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7C63DA51" w14:textId="12C1D7AB" w:rsidR="00863187" w:rsidRPr="001F5B24" w:rsidRDefault="00F17597"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N </w:t>
            </w:r>
          </w:p>
        </w:tc>
        <w:tc>
          <w:tcPr>
            <w:tcW w:w="2337" w:type="dxa"/>
          </w:tcPr>
          <w:p w14:paraId="1DBB60A5" w14:textId="77777777" w:rsidR="00863187" w:rsidRPr="001F5B24" w:rsidRDefault="00F17597"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w:t>
            </w:r>
          </w:p>
        </w:tc>
      </w:tr>
      <w:tr w:rsidR="00C26AA1" w:rsidRPr="001F5B24" w14:paraId="4F0D117C" w14:textId="77777777" w:rsidTr="00C26AA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56B632F4" w14:textId="3B04AD63" w:rsidR="00863187" w:rsidRPr="004C05AA" w:rsidRDefault="00F17597" w:rsidP="006C1DF2">
            <w:pPr>
              <w:pStyle w:val="Content"/>
              <w:rPr>
                <w:rFonts w:ascii="Times New Roman" w:hAnsi="Times New Roman" w:cs="Times New Roman"/>
                <w:color w:val="auto"/>
                <w:sz w:val="24"/>
                <w:szCs w:val="24"/>
                <w:highlight w:val="yellow"/>
              </w:rPr>
            </w:pPr>
            <w:r w:rsidRPr="0053311B">
              <w:rPr>
                <w:rFonts w:ascii="Times New Roman" w:hAnsi="Times New Roman" w:cs="Times New Roman"/>
                <w:color w:val="auto"/>
                <w:sz w:val="24"/>
                <w:szCs w:val="24"/>
              </w:rPr>
              <w:t xml:space="preserve">Pretrial Supervision </w:t>
            </w:r>
          </w:p>
        </w:tc>
        <w:tc>
          <w:tcPr>
            <w:tcW w:w="2337" w:type="dxa"/>
          </w:tcPr>
          <w:p w14:paraId="26CD9156" w14:textId="77777777" w:rsidR="00863187" w:rsidRPr="001F5B24" w:rsidRDefault="0086318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74D49CA" w14:textId="7A8E8FCB" w:rsidR="00863187"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(n=1</w:t>
            </w:r>
            <w:r w:rsidR="0053311B">
              <w:rPr>
                <w:rFonts w:ascii="Times New Roman" w:hAnsi="Times New Roman" w:cs="Times New Roman"/>
                <w:color w:val="auto"/>
                <w:sz w:val="24"/>
                <w:szCs w:val="24"/>
              </w:rPr>
              <w:t>60</w:t>
            </w:r>
            <w:r w:rsidRPr="001F5B24">
              <w:rPr>
                <w:rFonts w:ascii="Times New Roman" w:hAnsi="Times New Roman" w:cs="Times New Roman"/>
                <w:color w:val="auto"/>
                <w:sz w:val="24"/>
                <w:szCs w:val="24"/>
              </w:rPr>
              <w:t>)</w:t>
            </w:r>
          </w:p>
        </w:tc>
        <w:tc>
          <w:tcPr>
            <w:tcW w:w="2337" w:type="dxa"/>
          </w:tcPr>
          <w:p w14:paraId="2B14910B" w14:textId="77777777" w:rsidR="00863187" w:rsidRPr="001F5B24" w:rsidRDefault="0086318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26AA1" w:rsidRPr="001F5B24" w14:paraId="4F223A6C"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364AE9E" w14:textId="74DDC23D" w:rsidR="00863187" w:rsidRPr="004C05AA" w:rsidRDefault="004C05AA" w:rsidP="006C1DF2">
            <w:pPr>
              <w:pStyle w:val="Content"/>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t xml:space="preserve"> </w:t>
            </w:r>
          </w:p>
        </w:tc>
        <w:tc>
          <w:tcPr>
            <w:tcW w:w="2337" w:type="dxa"/>
          </w:tcPr>
          <w:p w14:paraId="088BC4CF" w14:textId="3C566F53" w:rsidR="00863187" w:rsidRPr="001F5B24" w:rsidRDefault="00F1759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Low </w:t>
            </w:r>
          </w:p>
        </w:tc>
        <w:tc>
          <w:tcPr>
            <w:tcW w:w="2337" w:type="dxa"/>
          </w:tcPr>
          <w:p w14:paraId="7509F1C4" w14:textId="77257B1D" w:rsidR="00863187" w:rsidRPr="001F5B24" w:rsidRDefault="00E876A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2337" w:type="dxa"/>
          </w:tcPr>
          <w:p w14:paraId="198CF1BA" w14:textId="1D64861F" w:rsidR="00863187" w:rsidRPr="001F5B24" w:rsidRDefault="00E876A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12.50</w:t>
            </w:r>
          </w:p>
        </w:tc>
      </w:tr>
      <w:tr w:rsidR="00C26AA1" w:rsidRPr="001F5B24" w14:paraId="7E89B8F0"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6F281082" w14:textId="77777777" w:rsidR="00863187" w:rsidRPr="004C05AA" w:rsidRDefault="00863187" w:rsidP="006C1DF2">
            <w:pPr>
              <w:pStyle w:val="Content"/>
              <w:rPr>
                <w:rFonts w:ascii="Times New Roman" w:hAnsi="Times New Roman" w:cs="Times New Roman"/>
                <w:color w:val="auto"/>
                <w:sz w:val="24"/>
                <w:szCs w:val="24"/>
                <w:highlight w:val="yellow"/>
              </w:rPr>
            </w:pPr>
          </w:p>
        </w:tc>
        <w:tc>
          <w:tcPr>
            <w:tcW w:w="2337" w:type="dxa"/>
          </w:tcPr>
          <w:p w14:paraId="6F0E2BCE" w14:textId="75F6F6D8" w:rsidR="00863187" w:rsidRPr="001F5B24" w:rsidRDefault="00F1759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Moderate </w:t>
            </w:r>
          </w:p>
        </w:tc>
        <w:tc>
          <w:tcPr>
            <w:tcW w:w="2337" w:type="dxa"/>
          </w:tcPr>
          <w:p w14:paraId="0DB38349" w14:textId="05C443B1" w:rsidR="00863187" w:rsidRPr="001F5B24" w:rsidRDefault="00F17597"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w:t>
            </w:r>
            <w:r w:rsidR="00E876AC">
              <w:rPr>
                <w:rFonts w:ascii="Times New Roman" w:hAnsi="Times New Roman" w:cs="Times New Roman"/>
                <w:color w:val="auto"/>
                <w:sz w:val="24"/>
                <w:szCs w:val="24"/>
              </w:rPr>
              <w:t>24</w:t>
            </w:r>
          </w:p>
        </w:tc>
        <w:tc>
          <w:tcPr>
            <w:tcW w:w="2337" w:type="dxa"/>
          </w:tcPr>
          <w:p w14:paraId="3AC04E54" w14:textId="68EECF9F" w:rsidR="00863187" w:rsidRPr="001F5B24" w:rsidRDefault="00E876A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77.50</w:t>
            </w:r>
          </w:p>
        </w:tc>
      </w:tr>
      <w:tr w:rsidR="00C26AA1" w:rsidRPr="001F5B24" w14:paraId="0138F334" w14:textId="77777777" w:rsidTr="00C26AA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488D9E2" w14:textId="186895C9" w:rsidR="00863187" w:rsidRPr="004C05AA" w:rsidRDefault="00863187" w:rsidP="006C1DF2">
            <w:pPr>
              <w:pStyle w:val="Content"/>
              <w:rPr>
                <w:rFonts w:ascii="Times New Roman" w:hAnsi="Times New Roman" w:cs="Times New Roman"/>
                <w:color w:val="auto"/>
                <w:sz w:val="24"/>
                <w:szCs w:val="24"/>
                <w:highlight w:val="yellow"/>
              </w:rPr>
            </w:pPr>
          </w:p>
        </w:tc>
        <w:tc>
          <w:tcPr>
            <w:tcW w:w="2337" w:type="dxa"/>
          </w:tcPr>
          <w:p w14:paraId="111B6EF9" w14:textId="32A369E7" w:rsidR="00863187" w:rsidRPr="001F5B24" w:rsidRDefault="00F17597"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2337" w:type="dxa"/>
          </w:tcPr>
          <w:p w14:paraId="647CFEF3" w14:textId="7C869B2A" w:rsidR="00863187" w:rsidRPr="001F5B24" w:rsidRDefault="00E876A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2337" w:type="dxa"/>
          </w:tcPr>
          <w:p w14:paraId="2A4DAED5" w14:textId="7A414941" w:rsidR="00863187" w:rsidRPr="001F5B24" w:rsidRDefault="00E876A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p>
        </w:tc>
      </w:tr>
    </w:tbl>
    <w:p w14:paraId="2A893B92" w14:textId="77777777" w:rsidR="0030549A" w:rsidRPr="001F5B24" w:rsidRDefault="0030549A" w:rsidP="00E201CC">
      <w:pPr>
        <w:spacing w:after="0"/>
        <w:jc w:val="both"/>
        <w:rPr>
          <w:rFonts w:ascii="Times New Roman" w:hAnsi="Times New Roman" w:cs="Times New Roman"/>
          <w:color w:val="4472C4" w:themeColor="accent1"/>
          <w:sz w:val="24"/>
          <w:szCs w:val="24"/>
        </w:rPr>
      </w:pPr>
    </w:p>
    <w:p w14:paraId="0A337427" w14:textId="02E11B66" w:rsidR="00863187" w:rsidRPr="001F5B24" w:rsidRDefault="00E42FAB" w:rsidP="00E201CC">
      <w:pPr>
        <w:spacing w:after="0"/>
        <w:jc w:val="both"/>
        <w:rPr>
          <w:rFonts w:ascii="Times New Roman" w:hAnsi="Times New Roman" w:cs="Times New Roman"/>
          <w:b/>
          <w:bCs/>
          <w:sz w:val="24"/>
          <w:szCs w:val="24"/>
        </w:rPr>
      </w:pPr>
      <w:r>
        <w:rPr>
          <w:rFonts w:ascii="Times New Roman" w:hAnsi="Times New Roman" w:cs="Times New Roman"/>
          <w:b/>
          <w:bCs/>
          <w:sz w:val="24"/>
          <w:szCs w:val="24"/>
        </w:rPr>
        <w:t>Figure</w:t>
      </w:r>
      <w:r w:rsidR="00EE75D8">
        <w:rPr>
          <w:rFonts w:ascii="Times New Roman" w:hAnsi="Times New Roman" w:cs="Times New Roman"/>
          <w:b/>
          <w:bCs/>
          <w:sz w:val="24"/>
          <w:szCs w:val="24"/>
        </w:rPr>
        <w:t xml:space="preserve"> </w:t>
      </w:r>
      <w:r w:rsidR="00513D6A">
        <w:rPr>
          <w:rFonts w:ascii="Times New Roman" w:hAnsi="Times New Roman" w:cs="Times New Roman"/>
          <w:b/>
          <w:bCs/>
          <w:sz w:val="24"/>
          <w:szCs w:val="24"/>
        </w:rPr>
        <w:t>3</w:t>
      </w:r>
      <w:r w:rsidR="00F17597" w:rsidRPr="001F5B24">
        <w:rPr>
          <w:rFonts w:ascii="Times New Roman" w:hAnsi="Times New Roman" w:cs="Times New Roman"/>
          <w:b/>
          <w:bCs/>
          <w:sz w:val="24"/>
          <w:szCs w:val="24"/>
        </w:rPr>
        <w:t xml:space="preserve">: Risk Level by Race for all population </w:t>
      </w:r>
    </w:p>
    <w:p w14:paraId="6EC4D9E1" w14:textId="4AAD67F6" w:rsidR="009672A8" w:rsidRPr="001F5B24" w:rsidRDefault="00F17597" w:rsidP="002B5627">
      <w:pPr>
        <w:jc w:val="both"/>
        <w:rPr>
          <w:rFonts w:ascii="Times New Roman" w:hAnsi="Times New Roman" w:cs="Times New Roman"/>
          <w:sz w:val="24"/>
          <w:szCs w:val="24"/>
        </w:rPr>
      </w:pPr>
      <w:r w:rsidRPr="001F5B24">
        <w:rPr>
          <w:rFonts w:ascii="Times New Roman" w:hAnsi="Times New Roman" w:cs="Times New Roman"/>
          <w:i/>
          <w:iCs/>
          <w:noProof/>
          <w:sz w:val="24"/>
          <w:szCs w:val="24"/>
        </w:rPr>
        <w:drawing>
          <wp:anchor distT="0" distB="0" distL="114300" distR="114300" simplePos="0" relativeHeight="251662336" behindDoc="0" locked="0" layoutInCell="1" allowOverlap="1" wp14:anchorId="6D60D4DD" wp14:editId="36D32316">
            <wp:simplePos x="0" y="0"/>
            <wp:positionH relativeFrom="column">
              <wp:posOffset>0</wp:posOffset>
            </wp:positionH>
            <wp:positionV relativeFrom="paragraph">
              <wp:posOffset>1270</wp:posOffset>
            </wp:positionV>
            <wp:extent cx="4200525" cy="2447925"/>
            <wp:effectExtent l="0" t="0" r="9525" b="9525"/>
            <wp:wrapThrough wrapText="bothSides">
              <wp:wrapPolygon edited="0">
                <wp:start x="0" y="0"/>
                <wp:lineTo x="0" y="21516"/>
                <wp:lineTo x="21551" y="21516"/>
                <wp:lineTo x="21551"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02795" w:rsidRPr="001F5B24">
        <w:rPr>
          <w:rFonts w:ascii="Times New Roman" w:hAnsi="Times New Roman" w:cs="Times New Roman"/>
          <w:sz w:val="24"/>
          <w:szCs w:val="24"/>
        </w:rPr>
        <w:t xml:space="preserve"> In </w:t>
      </w:r>
      <w:r w:rsidR="00E42FAB">
        <w:rPr>
          <w:rFonts w:ascii="Times New Roman" w:hAnsi="Times New Roman" w:cs="Times New Roman"/>
          <w:sz w:val="24"/>
          <w:szCs w:val="24"/>
        </w:rPr>
        <w:t>Figure</w:t>
      </w:r>
      <w:r w:rsidR="00513D6A">
        <w:rPr>
          <w:rFonts w:ascii="Times New Roman" w:hAnsi="Times New Roman" w:cs="Times New Roman"/>
          <w:sz w:val="24"/>
          <w:szCs w:val="24"/>
        </w:rPr>
        <w:t xml:space="preserve"> </w:t>
      </w:r>
      <w:r w:rsidR="00102795" w:rsidRPr="001F5B24">
        <w:rPr>
          <w:rFonts w:ascii="Times New Roman" w:hAnsi="Times New Roman" w:cs="Times New Roman"/>
          <w:sz w:val="24"/>
          <w:szCs w:val="24"/>
        </w:rPr>
        <w:t>3,</w:t>
      </w:r>
      <w:r w:rsidR="00F901F2">
        <w:rPr>
          <w:rFonts w:ascii="Times New Roman" w:hAnsi="Times New Roman" w:cs="Times New Roman"/>
          <w:sz w:val="24"/>
          <w:szCs w:val="24"/>
        </w:rPr>
        <w:t xml:space="preserve"> </w:t>
      </w:r>
      <w:r w:rsidR="00102795" w:rsidRPr="001F5B24">
        <w:rPr>
          <w:rFonts w:ascii="Times New Roman" w:hAnsi="Times New Roman" w:cs="Times New Roman"/>
          <w:sz w:val="24"/>
          <w:szCs w:val="24"/>
        </w:rPr>
        <w:t>out of the (n=753) individuals on the data set, Black and white individuals are similar low</w:t>
      </w:r>
      <w:r w:rsidR="00CC07AD">
        <w:rPr>
          <w:rFonts w:ascii="Times New Roman" w:hAnsi="Times New Roman" w:cs="Times New Roman"/>
          <w:sz w:val="24"/>
          <w:szCs w:val="24"/>
        </w:rPr>
        <w:t xml:space="preserve">-risk </w:t>
      </w:r>
      <w:r w:rsidR="00102795" w:rsidRPr="001F5B24">
        <w:rPr>
          <w:rFonts w:ascii="Times New Roman" w:hAnsi="Times New Roman" w:cs="Times New Roman"/>
          <w:sz w:val="24"/>
          <w:szCs w:val="24"/>
        </w:rPr>
        <w:t xml:space="preserve">at (n=47) and (n=42). </w:t>
      </w:r>
      <w:r w:rsidR="00CC07AD">
        <w:rPr>
          <w:rFonts w:ascii="Times New Roman" w:hAnsi="Times New Roman" w:cs="Times New Roman"/>
          <w:sz w:val="24"/>
          <w:szCs w:val="24"/>
        </w:rPr>
        <w:t xml:space="preserve">There </w:t>
      </w:r>
      <w:r w:rsidR="00695A05">
        <w:rPr>
          <w:rFonts w:ascii="Times New Roman" w:hAnsi="Times New Roman" w:cs="Times New Roman"/>
          <w:sz w:val="24"/>
          <w:szCs w:val="24"/>
        </w:rPr>
        <w:t>was</w:t>
      </w:r>
      <w:r w:rsidR="00CC07AD">
        <w:rPr>
          <w:rFonts w:ascii="Times New Roman" w:hAnsi="Times New Roman" w:cs="Times New Roman"/>
          <w:sz w:val="24"/>
          <w:szCs w:val="24"/>
        </w:rPr>
        <w:t xml:space="preserve"> an increase in </w:t>
      </w:r>
      <w:r w:rsidR="00102795" w:rsidRPr="001F5B24">
        <w:rPr>
          <w:rFonts w:ascii="Times New Roman" w:hAnsi="Times New Roman" w:cs="Times New Roman"/>
          <w:sz w:val="24"/>
          <w:szCs w:val="24"/>
        </w:rPr>
        <w:t>moderate for Black</w:t>
      </w:r>
      <w:r w:rsidR="00CC07AD">
        <w:rPr>
          <w:rFonts w:ascii="Times New Roman" w:hAnsi="Times New Roman" w:cs="Times New Roman"/>
          <w:sz w:val="24"/>
          <w:szCs w:val="24"/>
        </w:rPr>
        <w:t xml:space="preserve"> </w:t>
      </w:r>
      <w:r w:rsidR="00102795" w:rsidRPr="001F5B24">
        <w:rPr>
          <w:rFonts w:ascii="Times New Roman" w:hAnsi="Times New Roman" w:cs="Times New Roman"/>
          <w:sz w:val="24"/>
          <w:szCs w:val="24"/>
        </w:rPr>
        <w:t xml:space="preserve">individuals at (n=129). The majority predicted </w:t>
      </w:r>
      <w:r w:rsidR="00332234">
        <w:rPr>
          <w:rFonts w:ascii="Times New Roman" w:hAnsi="Times New Roman" w:cs="Times New Roman"/>
          <w:sz w:val="24"/>
          <w:szCs w:val="24"/>
        </w:rPr>
        <w:t xml:space="preserve">high-risk </w:t>
      </w:r>
      <w:r w:rsidR="00102795" w:rsidRPr="001F5B24">
        <w:rPr>
          <w:rFonts w:ascii="Times New Roman" w:hAnsi="Times New Roman" w:cs="Times New Roman"/>
          <w:sz w:val="24"/>
          <w:szCs w:val="24"/>
        </w:rPr>
        <w:t>are white individuals at (n=135), Black individuals (n=99), and Latine (n=57).</w:t>
      </w:r>
    </w:p>
    <w:p w14:paraId="08AA838B" w14:textId="77777777" w:rsidR="008467C9" w:rsidRDefault="008467C9" w:rsidP="009672A8">
      <w:pPr>
        <w:jc w:val="both"/>
        <w:rPr>
          <w:rFonts w:ascii="Times New Roman" w:eastAsia="MS Mincho" w:hAnsi="Times New Roman" w:cs="Times New Roman"/>
          <w:b/>
          <w:bCs/>
          <w:color w:val="4472C4" w:themeColor="accent1"/>
          <w:sz w:val="24"/>
          <w:szCs w:val="24"/>
        </w:rPr>
      </w:pPr>
    </w:p>
    <w:p w14:paraId="5CABF784" w14:textId="77777777" w:rsidR="008467C9" w:rsidRDefault="008467C9" w:rsidP="009672A8">
      <w:pPr>
        <w:jc w:val="both"/>
        <w:rPr>
          <w:rFonts w:ascii="Times New Roman" w:eastAsia="MS Mincho" w:hAnsi="Times New Roman" w:cs="Times New Roman"/>
          <w:b/>
          <w:bCs/>
          <w:color w:val="4472C4" w:themeColor="accent1"/>
          <w:sz w:val="24"/>
          <w:szCs w:val="24"/>
        </w:rPr>
      </w:pPr>
    </w:p>
    <w:p w14:paraId="53BB1655" w14:textId="77777777" w:rsidR="008467C9" w:rsidRDefault="008467C9" w:rsidP="009672A8">
      <w:pPr>
        <w:jc w:val="both"/>
        <w:rPr>
          <w:rFonts w:ascii="Times New Roman" w:eastAsia="MS Mincho" w:hAnsi="Times New Roman" w:cs="Times New Roman"/>
          <w:b/>
          <w:bCs/>
          <w:color w:val="4472C4" w:themeColor="accent1"/>
          <w:sz w:val="24"/>
          <w:szCs w:val="24"/>
        </w:rPr>
      </w:pPr>
    </w:p>
    <w:p w14:paraId="0A0D63A9" w14:textId="77777777" w:rsidR="008467C9" w:rsidRDefault="008467C9" w:rsidP="009672A8">
      <w:pPr>
        <w:jc w:val="both"/>
        <w:rPr>
          <w:rFonts w:ascii="Times New Roman" w:eastAsia="MS Mincho" w:hAnsi="Times New Roman" w:cs="Times New Roman"/>
          <w:b/>
          <w:bCs/>
          <w:color w:val="4472C4" w:themeColor="accent1"/>
          <w:sz w:val="24"/>
          <w:szCs w:val="24"/>
        </w:rPr>
      </w:pPr>
    </w:p>
    <w:p w14:paraId="2F5EE150" w14:textId="4B54AA12" w:rsidR="009604C3" w:rsidRPr="001F5B24" w:rsidRDefault="00F17597" w:rsidP="009672A8">
      <w:pPr>
        <w:jc w:val="both"/>
        <w:rPr>
          <w:rFonts w:ascii="Times New Roman" w:eastAsia="MS Mincho" w:hAnsi="Times New Roman" w:cs="Times New Roman"/>
          <w:b/>
          <w:bCs/>
          <w:color w:val="4472C4" w:themeColor="accent1"/>
          <w:sz w:val="24"/>
          <w:szCs w:val="24"/>
        </w:rPr>
      </w:pPr>
      <w:r w:rsidRPr="001173D3">
        <w:rPr>
          <w:rFonts w:ascii="Times New Roman" w:eastAsia="MS Mincho" w:hAnsi="Times New Roman" w:cs="Times New Roman"/>
          <w:b/>
          <w:bCs/>
          <w:color w:val="4472C4" w:themeColor="accent1"/>
          <w:sz w:val="24"/>
          <w:szCs w:val="24"/>
        </w:rPr>
        <w:lastRenderedPageBreak/>
        <w:t>The number and percentage of assessed individuals by supervision level who fail to appear in court as required, are arrested for a new offense during the pretrial period, or have pretrial release</w:t>
      </w:r>
      <w:r w:rsidR="001173D3" w:rsidRPr="001173D3">
        <w:rPr>
          <w:rFonts w:ascii="Times New Roman" w:eastAsia="MS Mincho" w:hAnsi="Times New Roman" w:cs="Times New Roman"/>
          <w:b/>
          <w:bCs/>
          <w:color w:val="4472C4" w:themeColor="accent1"/>
          <w:sz w:val="24"/>
          <w:szCs w:val="24"/>
        </w:rPr>
        <w:t xml:space="preserve"> revoked by the court due to a technical violation of release conditions</w:t>
      </w:r>
    </w:p>
    <w:p w14:paraId="2FD26A14" w14:textId="7A420CDB" w:rsidR="00EB7085" w:rsidRDefault="00EB7085" w:rsidP="009672A8">
      <w:pPr>
        <w:jc w:val="both"/>
        <w:rPr>
          <w:rFonts w:ascii="Times New Roman" w:eastAsia="MS Mincho" w:hAnsi="Times New Roman" w:cs="Times New Roman"/>
          <w:sz w:val="24"/>
          <w:szCs w:val="24"/>
        </w:rPr>
      </w:pPr>
      <w:r w:rsidRPr="00EB7085">
        <w:rPr>
          <w:rFonts w:ascii="Times New Roman" w:eastAsia="MS Mincho" w:hAnsi="Times New Roman" w:cs="Times New Roman"/>
          <w:sz w:val="24"/>
          <w:szCs w:val="24"/>
        </w:rPr>
        <w:t xml:space="preserve">Probation only tracks FTA, new misdemeanor arrest, new felony arrest for those under pretrial supervision. Currently, </w:t>
      </w:r>
      <w:r w:rsidR="00B52F53">
        <w:rPr>
          <w:rFonts w:ascii="Times New Roman" w:eastAsia="MS Mincho" w:hAnsi="Times New Roman" w:cs="Times New Roman"/>
          <w:sz w:val="24"/>
          <w:szCs w:val="24"/>
        </w:rPr>
        <w:t>Probation</w:t>
      </w:r>
      <w:r w:rsidRPr="00EB7085">
        <w:rPr>
          <w:rFonts w:ascii="Times New Roman" w:eastAsia="MS Mincho" w:hAnsi="Times New Roman" w:cs="Times New Roman"/>
          <w:sz w:val="24"/>
          <w:szCs w:val="24"/>
        </w:rPr>
        <w:t xml:space="preserve"> does not </w:t>
      </w:r>
      <w:r w:rsidR="00695A05">
        <w:rPr>
          <w:rFonts w:ascii="Times New Roman" w:eastAsia="MS Mincho" w:hAnsi="Times New Roman" w:cs="Times New Roman"/>
          <w:sz w:val="24"/>
          <w:szCs w:val="24"/>
        </w:rPr>
        <w:t>track</w:t>
      </w:r>
      <w:r w:rsidRPr="00EB7085">
        <w:rPr>
          <w:rFonts w:ascii="Times New Roman" w:eastAsia="MS Mincho" w:hAnsi="Times New Roman" w:cs="Times New Roman"/>
          <w:sz w:val="24"/>
          <w:szCs w:val="24"/>
        </w:rPr>
        <w:t xml:space="preserve"> FTA for those released on ORR. Table 5 illustrates that those assessed as low-risk did not have an FTA or have a new arrest. At the same time, those assessed as high-risk have a 37.5% FTA rate. Thus, considering all risk levels, approximately 28% of individuals either FTA or commit a new crime. For comparison, the ORAS-PAT tool has been validated across multiple jurisdictions; in one study, researchers found that individuals assessed as low-risk had a 5.4% FTA or new arrest rate, 17.8% for moderate-risk, and 29.5% for high-risk (Latessa et al., 2010). </w:t>
      </w:r>
    </w:p>
    <w:p w14:paraId="2B6CAE7C" w14:textId="0DBD3CCE" w:rsidR="00C76844" w:rsidRPr="001F5B24" w:rsidRDefault="00E65A98" w:rsidP="009672A8">
      <w:pPr>
        <w:jc w:val="both"/>
        <w:rPr>
          <w:rFonts w:ascii="Times New Roman" w:hAnsi="Times New Roman" w:cs="Times New Roman"/>
          <w:b/>
          <w:bCs/>
          <w:sz w:val="24"/>
          <w:szCs w:val="24"/>
        </w:rPr>
      </w:pPr>
      <w:r>
        <w:rPr>
          <w:rFonts w:ascii="Times New Roman" w:eastAsia="MS Mincho" w:hAnsi="Times New Roman" w:cs="Times New Roman"/>
          <w:b/>
          <w:bCs/>
          <w:sz w:val="24"/>
          <w:szCs w:val="24"/>
        </w:rPr>
        <w:t>Table</w:t>
      </w:r>
      <w:r w:rsidR="00F17597" w:rsidRPr="001F5B24">
        <w:rPr>
          <w:rFonts w:ascii="Times New Roman" w:eastAsia="MS Mincho" w:hAnsi="Times New Roman" w:cs="Times New Roman"/>
          <w:b/>
          <w:bCs/>
          <w:sz w:val="24"/>
          <w:szCs w:val="24"/>
        </w:rPr>
        <w:t xml:space="preserve"> 5: </w:t>
      </w:r>
      <w:r w:rsidR="00EA38A0" w:rsidRPr="001F5B24">
        <w:rPr>
          <w:rFonts w:ascii="Times New Roman" w:eastAsia="MS Mincho" w:hAnsi="Times New Roman" w:cs="Times New Roman"/>
          <w:b/>
          <w:bCs/>
          <w:sz w:val="24"/>
          <w:szCs w:val="24"/>
        </w:rPr>
        <w:t>Fail to Appear or new conviction</w:t>
      </w:r>
      <w:r w:rsidR="00AB2D6F" w:rsidRPr="001F5B24">
        <w:rPr>
          <w:rFonts w:ascii="Times New Roman" w:eastAsia="MS Mincho" w:hAnsi="Times New Roman" w:cs="Times New Roman"/>
          <w:b/>
          <w:bCs/>
          <w:sz w:val="24"/>
          <w:szCs w:val="24"/>
        </w:rPr>
        <w:t xml:space="preserve"> for those in pretrial supervision or direct court</w:t>
      </w:r>
      <w:r w:rsidR="000A687A" w:rsidRPr="001F5B24">
        <w:rPr>
          <w:rFonts w:ascii="Times New Roman" w:eastAsia="MS Mincho" w:hAnsi="Times New Roman" w:cs="Times New Roman"/>
          <w:b/>
          <w:bCs/>
          <w:sz w:val="24"/>
          <w:szCs w:val="24"/>
        </w:rPr>
        <w:t xml:space="preserve"> pretrial. </w:t>
      </w:r>
    </w:p>
    <w:tbl>
      <w:tblPr>
        <w:tblStyle w:val="GridTable1Light"/>
        <w:tblW w:w="10674" w:type="dxa"/>
        <w:tblLayout w:type="fixed"/>
        <w:tblLook w:val="04A0" w:firstRow="1" w:lastRow="0" w:firstColumn="1" w:lastColumn="0" w:noHBand="0" w:noVBand="1"/>
      </w:tblPr>
      <w:tblGrid>
        <w:gridCol w:w="1216"/>
        <w:gridCol w:w="723"/>
        <w:gridCol w:w="956"/>
        <w:gridCol w:w="803"/>
        <w:gridCol w:w="936"/>
        <w:gridCol w:w="803"/>
        <w:gridCol w:w="936"/>
        <w:gridCol w:w="803"/>
        <w:gridCol w:w="936"/>
        <w:gridCol w:w="803"/>
        <w:gridCol w:w="956"/>
        <w:gridCol w:w="803"/>
      </w:tblGrid>
      <w:tr w:rsidR="00EF4C25" w:rsidRPr="001F5B24" w14:paraId="5D163543" w14:textId="02560A0E" w:rsidTr="00B36061">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216" w:type="dxa"/>
          </w:tcPr>
          <w:p w14:paraId="54933FE9" w14:textId="2FEC9CBC" w:rsidR="008D2448" w:rsidRPr="001F5B24" w:rsidRDefault="008D2448" w:rsidP="006C1DF2">
            <w:pPr>
              <w:pStyle w:val="Content"/>
              <w:rPr>
                <w:rFonts w:ascii="Times New Roman" w:hAnsi="Times New Roman" w:cs="Times New Roman"/>
                <w:color w:val="auto"/>
                <w:sz w:val="24"/>
                <w:szCs w:val="24"/>
              </w:rPr>
            </w:pPr>
          </w:p>
        </w:tc>
        <w:tc>
          <w:tcPr>
            <w:tcW w:w="723" w:type="dxa"/>
          </w:tcPr>
          <w:p w14:paraId="3007A324" w14:textId="77777777" w:rsidR="008D2448" w:rsidRPr="001F5B24" w:rsidRDefault="008D2448" w:rsidP="006C1DF2">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759" w:type="dxa"/>
            <w:gridSpan w:val="2"/>
          </w:tcPr>
          <w:p w14:paraId="180D9B94" w14:textId="7C6410DD" w:rsidR="008D2448" w:rsidRPr="001F5B24" w:rsidRDefault="008D2448"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FTA</w:t>
            </w:r>
          </w:p>
        </w:tc>
        <w:tc>
          <w:tcPr>
            <w:tcW w:w="1739" w:type="dxa"/>
            <w:gridSpan w:val="2"/>
          </w:tcPr>
          <w:p w14:paraId="3614D6FB" w14:textId="6032ED8C" w:rsidR="008D2448" w:rsidRPr="001F5B24" w:rsidRDefault="008D2448"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New Misdemeanor </w:t>
            </w:r>
          </w:p>
        </w:tc>
        <w:tc>
          <w:tcPr>
            <w:tcW w:w="1739" w:type="dxa"/>
            <w:gridSpan w:val="2"/>
          </w:tcPr>
          <w:p w14:paraId="270D47B9" w14:textId="7B470A31" w:rsidR="008D2448" w:rsidRPr="001F5B24" w:rsidRDefault="008D2448"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New Felony </w:t>
            </w:r>
          </w:p>
        </w:tc>
        <w:tc>
          <w:tcPr>
            <w:tcW w:w="1739" w:type="dxa"/>
            <w:gridSpan w:val="2"/>
          </w:tcPr>
          <w:p w14:paraId="51E3C88A" w14:textId="22303BBB" w:rsidR="008D2448" w:rsidRPr="001F5B24" w:rsidRDefault="00EF4C25"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Pretrial </w:t>
            </w:r>
            <w:r w:rsidR="008D2448">
              <w:rPr>
                <w:rFonts w:ascii="Times New Roman" w:hAnsi="Times New Roman" w:cs="Times New Roman"/>
                <w:color w:val="auto"/>
                <w:sz w:val="24"/>
                <w:szCs w:val="24"/>
              </w:rPr>
              <w:t xml:space="preserve">Revoked </w:t>
            </w:r>
          </w:p>
        </w:tc>
        <w:tc>
          <w:tcPr>
            <w:tcW w:w="1759" w:type="dxa"/>
            <w:gridSpan w:val="2"/>
          </w:tcPr>
          <w:p w14:paraId="39CC65B9" w14:textId="3D146141" w:rsidR="008D2448" w:rsidRPr="001F5B24" w:rsidRDefault="008D2448" w:rsidP="006C1DF2">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Total Revoked </w:t>
            </w:r>
          </w:p>
        </w:tc>
      </w:tr>
      <w:tr w:rsidR="00B36061" w:rsidRPr="001F5B24" w14:paraId="513BA922" w14:textId="0C8164F0" w:rsidTr="00B36061">
        <w:trPr>
          <w:trHeight w:val="275"/>
        </w:trPr>
        <w:tc>
          <w:tcPr>
            <w:cnfStyle w:val="001000000000" w:firstRow="0" w:lastRow="0" w:firstColumn="1" w:lastColumn="0" w:oddVBand="0" w:evenVBand="0" w:oddHBand="0" w:evenHBand="0" w:firstRowFirstColumn="0" w:firstRowLastColumn="0" w:lastRowFirstColumn="0" w:lastRowLastColumn="0"/>
            <w:tcW w:w="1216" w:type="dxa"/>
          </w:tcPr>
          <w:p w14:paraId="38062388" w14:textId="7270B62C" w:rsidR="008D2448" w:rsidRPr="001F5B24" w:rsidRDefault="008D2448"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Monitor Level </w:t>
            </w:r>
          </w:p>
        </w:tc>
        <w:tc>
          <w:tcPr>
            <w:tcW w:w="723" w:type="dxa"/>
          </w:tcPr>
          <w:p w14:paraId="5E8DEA3A" w14:textId="59920F0B" w:rsidR="008D2448" w:rsidRPr="001F5B24" w:rsidRDefault="008D2448"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Total</w:t>
            </w:r>
          </w:p>
        </w:tc>
        <w:tc>
          <w:tcPr>
            <w:tcW w:w="956" w:type="dxa"/>
          </w:tcPr>
          <w:p w14:paraId="055F9A66" w14:textId="6F9277AF"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3" w:type="dxa"/>
          </w:tcPr>
          <w:p w14:paraId="3FB3010A" w14:textId="623B4B69"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36" w:type="dxa"/>
          </w:tcPr>
          <w:p w14:paraId="37FE5343" w14:textId="339E97AB"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3" w:type="dxa"/>
          </w:tcPr>
          <w:p w14:paraId="1097766B" w14:textId="1E06C4B5"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36" w:type="dxa"/>
          </w:tcPr>
          <w:p w14:paraId="568789CE" w14:textId="2FF06BB8"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3" w:type="dxa"/>
          </w:tcPr>
          <w:p w14:paraId="185BF5CD" w14:textId="6F7B7521"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36" w:type="dxa"/>
          </w:tcPr>
          <w:p w14:paraId="151817F0" w14:textId="1FC1D3FA" w:rsidR="008D2448" w:rsidRPr="00B016A6" w:rsidRDefault="00EF4C25"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16A6">
              <w:rPr>
                <w:rFonts w:ascii="Times New Roman" w:hAnsi="Times New Roman" w:cs="Times New Roman"/>
                <w:color w:val="auto"/>
                <w:sz w:val="24"/>
                <w:szCs w:val="24"/>
              </w:rPr>
              <w:t xml:space="preserve">Percent </w:t>
            </w:r>
          </w:p>
        </w:tc>
        <w:tc>
          <w:tcPr>
            <w:tcW w:w="803" w:type="dxa"/>
          </w:tcPr>
          <w:p w14:paraId="3069A9BB" w14:textId="05F52BCA" w:rsidR="008D2448" w:rsidRPr="00B016A6" w:rsidRDefault="00EF4C25"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16A6">
              <w:rPr>
                <w:rFonts w:ascii="Times New Roman" w:hAnsi="Times New Roman" w:cs="Times New Roman"/>
                <w:color w:val="auto"/>
                <w:sz w:val="24"/>
                <w:szCs w:val="24"/>
              </w:rPr>
              <w:t>Count</w:t>
            </w:r>
          </w:p>
        </w:tc>
        <w:tc>
          <w:tcPr>
            <w:tcW w:w="956" w:type="dxa"/>
          </w:tcPr>
          <w:p w14:paraId="51874DC6" w14:textId="6CD131A0"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Percent </w:t>
            </w:r>
          </w:p>
        </w:tc>
        <w:tc>
          <w:tcPr>
            <w:tcW w:w="803" w:type="dxa"/>
          </w:tcPr>
          <w:p w14:paraId="5B09F8E4" w14:textId="3DAFDC5A"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r>
      <w:tr w:rsidR="00B36061" w:rsidRPr="001F5B24" w14:paraId="420EA392" w14:textId="4C7DE54F" w:rsidTr="00B36061">
        <w:trPr>
          <w:trHeight w:val="260"/>
        </w:trPr>
        <w:tc>
          <w:tcPr>
            <w:cnfStyle w:val="001000000000" w:firstRow="0" w:lastRow="0" w:firstColumn="1" w:lastColumn="0" w:oddVBand="0" w:evenVBand="0" w:oddHBand="0" w:evenHBand="0" w:firstRowFirstColumn="0" w:firstRowLastColumn="0" w:lastRowFirstColumn="0" w:lastRowLastColumn="0"/>
            <w:tcW w:w="1216" w:type="dxa"/>
          </w:tcPr>
          <w:p w14:paraId="78D468A5" w14:textId="342D2D81" w:rsidR="008D2448" w:rsidRPr="001F5B24" w:rsidRDefault="008D2448"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Low</w:t>
            </w:r>
          </w:p>
        </w:tc>
        <w:tc>
          <w:tcPr>
            <w:tcW w:w="723" w:type="dxa"/>
          </w:tcPr>
          <w:p w14:paraId="07BF8658" w14:textId="5B69D497" w:rsidR="008D2448" w:rsidRPr="001F5B24" w:rsidRDefault="008D2448"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 20</w:t>
            </w:r>
          </w:p>
        </w:tc>
        <w:tc>
          <w:tcPr>
            <w:tcW w:w="956" w:type="dxa"/>
          </w:tcPr>
          <w:p w14:paraId="59918FF2" w14:textId="562E8DD2"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3" w:type="dxa"/>
          </w:tcPr>
          <w:p w14:paraId="404C16AC" w14:textId="257A0C17"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936" w:type="dxa"/>
          </w:tcPr>
          <w:p w14:paraId="17F92EFD" w14:textId="6CF81982"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3" w:type="dxa"/>
          </w:tcPr>
          <w:p w14:paraId="7D979FA6" w14:textId="094AD992"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936" w:type="dxa"/>
          </w:tcPr>
          <w:p w14:paraId="15A34636" w14:textId="6A4BFB33"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3" w:type="dxa"/>
          </w:tcPr>
          <w:p w14:paraId="09F04A3B" w14:textId="5D9E448D"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936" w:type="dxa"/>
          </w:tcPr>
          <w:p w14:paraId="5D50A0A3" w14:textId="694D67C9" w:rsidR="008D2448" w:rsidRPr="00B016A6" w:rsidRDefault="007A734C"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803" w:type="dxa"/>
          </w:tcPr>
          <w:p w14:paraId="70368785" w14:textId="2530C657" w:rsidR="008D2448" w:rsidRPr="00B016A6" w:rsidRDefault="00B016A6"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16A6">
              <w:rPr>
                <w:rFonts w:ascii="Times New Roman" w:hAnsi="Times New Roman" w:cs="Times New Roman"/>
                <w:color w:val="auto"/>
                <w:sz w:val="24"/>
                <w:szCs w:val="24"/>
              </w:rPr>
              <w:t>0</w:t>
            </w:r>
          </w:p>
        </w:tc>
        <w:tc>
          <w:tcPr>
            <w:tcW w:w="956" w:type="dxa"/>
          </w:tcPr>
          <w:p w14:paraId="325CF437" w14:textId="0F740027"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3" w:type="dxa"/>
          </w:tcPr>
          <w:p w14:paraId="14D2D614" w14:textId="306FA653"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r>
      <w:tr w:rsidR="00B36061" w:rsidRPr="001F5B24" w14:paraId="3C89C74C" w14:textId="62A18445" w:rsidTr="00B36061">
        <w:trPr>
          <w:trHeight w:val="260"/>
        </w:trPr>
        <w:tc>
          <w:tcPr>
            <w:cnfStyle w:val="001000000000" w:firstRow="0" w:lastRow="0" w:firstColumn="1" w:lastColumn="0" w:oddVBand="0" w:evenVBand="0" w:oddHBand="0" w:evenHBand="0" w:firstRowFirstColumn="0" w:firstRowLastColumn="0" w:lastRowFirstColumn="0" w:lastRowLastColumn="0"/>
            <w:tcW w:w="1216" w:type="dxa"/>
          </w:tcPr>
          <w:p w14:paraId="46A5DEC5" w14:textId="729F49F9" w:rsidR="008D2448" w:rsidRPr="001F5B24" w:rsidRDefault="008D2448"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Moderate</w:t>
            </w:r>
          </w:p>
        </w:tc>
        <w:tc>
          <w:tcPr>
            <w:tcW w:w="723" w:type="dxa"/>
          </w:tcPr>
          <w:p w14:paraId="64601763" w14:textId="5A414D43" w:rsidR="008D2448" w:rsidRPr="001F5B24" w:rsidRDefault="008D2448"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124</w:t>
            </w:r>
          </w:p>
        </w:tc>
        <w:tc>
          <w:tcPr>
            <w:tcW w:w="956" w:type="dxa"/>
          </w:tcPr>
          <w:p w14:paraId="556E196A" w14:textId="41CFCE32" w:rsidR="008D2448" w:rsidRPr="001F5B24" w:rsidRDefault="008D2448" w:rsidP="00812A9B">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23.38%</w:t>
            </w:r>
          </w:p>
        </w:tc>
        <w:tc>
          <w:tcPr>
            <w:tcW w:w="803" w:type="dxa"/>
          </w:tcPr>
          <w:p w14:paraId="7BD1D949" w14:textId="60C26124"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29</w:t>
            </w:r>
          </w:p>
        </w:tc>
        <w:tc>
          <w:tcPr>
            <w:tcW w:w="936" w:type="dxa"/>
          </w:tcPr>
          <w:p w14:paraId="125ABFE4" w14:textId="0E25BF48"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1.6%</w:t>
            </w:r>
          </w:p>
        </w:tc>
        <w:tc>
          <w:tcPr>
            <w:tcW w:w="803" w:type="dxa"/>
          </w:tcPr>
          <w:p w14:paraId="253EFF8E" w14:textId="178977E7"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p>
        </w:tc>
        <w:tc>
          <w:tcPr>
            <w:tcW w:w="936" w:type="dxa"/>
          </w:tcPr>
          <w:p w14:paraId="5FCEE210" w14:textId="22B2D103"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1.61%</w:t>
            </w:r>
          </w:p>
        </w:tc>
        <w:tc>
          <w:tcPr>
            <w:tcW w:w="803" w:type="dxa"/>
          </w:tcPr>
          <w:p w14:paraId="75A3B11B" w14:textId="1BB8C3F8"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p>
        </w:tc>
        <w:tc>
          <w:tcPr>
            <w:tcW w:w="936" w:type="dxa"/>
          </w:tcPr>
          <w:p w14:paraId="5E1B35FD" w14:textId="2449FF06" w:rsidR="008D2448" w:rsidRPr="00B016A6" w:rsidRDefault="00084C8F"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803" w:type="dxa"/>
          </w:tcPr>
          <w:p w14:paraId="6FE6B7F2" w14:textId="5B35D09E" w:rsidR="008D2448" w:rsidRPr="00B016A6" w:rsidRDefault="00B016A6"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16A6">
              <w:rPr>
                <w:rFonts w:ascii="Times New Roman" w:hAnsi="Times New Roman" w:cs="Times New Roman"/>
                <w:color w:val="auto"/>
                <w:sz w:val="24"/>
                <w:szCs w:val="24"/>
              </w:rPr>
              <w:t>1</w:t>
            </w:r>
          </w:p>
        </w:tc>
        <w:tc>
          <w:tcPr>
            <w:tcW w:w="956" w:type="dxa"/>
          </w:tcPr>
          <w:p w14:paraId="2BA31CBB" w14:textId="42CC096B"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r w:rsidR="00157D6B">
              <w:rPr>
                <w:rFonts w:ascii="Times New Roman" w:hAnsi="Times New Roman" w:cs="Times New Roman"/>
                <w:color w:val="auto"/>
                <w:sz w:val="24"/>
                <w:szCs w:val="24"/>
              </w:rPr>
              <w:t>7.42</w:t>
            </w:r>
            <w:r w:rsidRPr="001F5B24">
              <w:rPr>
                <w:rFonts w:ascii="Times New Roman" w:hAnsi="Times New Roman" w:cs="Times New Roman"/>
                <w:color w:val="auto"/>
                <w:sz w:val="24"/>
                <w:szCs w:val="24"/>
              </w:rPr>
              <w:t>%</w:t>
            </w:r>
          </w:p>
        </w:tc>
        <w:tc>
          <w:tcPr>
            <w:tcW w:w="803" w:type="dxa"/>
          </w:tcPr>
          <w:p w14:paraId="695C3EFA" w14:textId="6CF7E8C1"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w:t>
            </w:r>
            <w:r w:rsidR="00025FA5">
              <w:rPr>
                <w:rFonts w:ascii="Times New Roman" w:hAnsi="Times New Roman" w:cs="Times New Roman"/>
                <w:color w:val="auto"/>
                <w:sz w:val="24"/>
                <w:szCs w:val="24"/>
              </w:rPr>
              <w:t>4</w:t>
            </w:r>
          </w:p>
        </w:tc>
      </w:tr>
      <w:tr w:rsidR="00B36061" w:rsidRPr="001F5B24" w14:paraId="633D5A4F" w14:textId="28C43AB2" w:rsidTr="00B36061">
        <w:trPr>
          <w:trHeight w:val="260"/>
        </w:trPr>
        <w:tc>
          <w:tcPr>
            <w:cnfStyle w:val="001000000000" w:firstRow="0" w:lastRow="0" w:firstColumn="1" w:lastColumn="0" w:oddVBand="0" w:evenVBand="0" w:oddHBand="0" w:evenHBand="0" w:firstRowFirstColumn="0" w:firstRowLastColumn="0" w:lastRowFirstColumn="0" w:lastRowLastColumn="0"/>
            <w:tcW w:w="1216" w:type="dxa"/>
          </w:tcPr>
          <w:p w14:paraId="0CAF792B" w14:textId="1C1EEC13" w:rsidR="008D2448" w:rsidRPr="001F5B24" w:rsidRDefault="008D2448"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723" w:type="dxa"/>
          </w:tcPr>
          <w:p w14:paraId="42C80FD5" w14:textId="5E16027C" w:rsidR="008D2448" w:rsidRPr="001F5B24" w:rsidRDefault="008D2448"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 16</w:t>
            </w:r>
          </w:p>
        </w:tc>
        <w:tc>
          <w:tcPr>
            <w:tcW w:w="956" w:type="dxa"/>
          </w:tcPr>
          <w:p w14:paraId="1014347A" w14:textId="6A7C70F6"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37.5%</w:t>
            </w:r>
          </w:p>
        </w:tc>
        <w:tc>
          <w:tcPr>
            <w:tcW w:w="803" w:type="dxa"/>
          </w:tcPr>
          <w:p w14:paraId="722DD47B" w14:textId="01116319"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6</w:t>
            </w:r>
          </w:p>
        </w:tc>
        <w:tc>
          <w:tcPr>
            <w:tcW w:w="936" w:type="dxa"/>
          </w:tcPr>
          <w:p w14:paraId="7C1C6538" w14:textId="236DC5AA"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6.25%</w:t>
            </w:r>
          </w:p>
        </w:tc>
        <w:tc>
          <w:tcPr>
            <w:tcW w:w="803" w:type="dxa"/>
          </w:tcPr>
          <w:p w14:paraId="63BF5317" w14:textId="0FC9A5CC"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w:t>
            </w:r>
          </w:p>
        </w:tc>
        <w:tc>
          <w:tcPr>
            <w:tcW w:w="936" w:type="dxa"/>
          </w:tcPr>
          <w:p w14:paraId="241B70B2" w14:textId="13C5A80C"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12.5%</w:t>
            </w:r>
          </w:p>
        </w:tc>
        <w:tc>
          <w:tcPr>
            <w:tcW w:w="803" w:type="dxa"/>
          </w:tcPr>
          <w:p w14:paraId="50B5E1AC" w14:textId="1A42C668"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p>
        </w:tc>
        <w:tc>
          <w:tcPr>
            <w:tcW w:w="936" w:type="dxa"/>
          </w:tcPr>
          <w:p w14:paraId="76FB3E4C" w14:textId="7206C36F" w:rsidR="008D2448" w:rsidRPr="00B016A6" w:rsidRDefault="00F31224"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803" w:type="dxa"/>
          </w:tcPr>
          <w:p w14:paraId="783C2A05" w14:textId="3A913582" w:rsidR="008D2448" w:rsidRPr="00B016A6" w:rsidRDefault="00B016A6"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016A6">
              <w:rPr>
                <w:rFonts w:ascii="Times New Roman" w:hAnsi="Times New Roman" w:cs="Times New Roman"/>
                <w:color w:val="auto"/>
                <w:sz w:val="24"/>
                <w:szCs w:val="24"/>
              </w:rPr>
              <w:t>2</w:t>
            </w:r>
          </w:p>
        </w:tc>
        <w:tc>
          <w:tcPr>
            <w:tcW w:w="956" w:type="dxa"/>
          </w:tcPr>
          <w:p w14:paraId="5CAD908C" w14:textId="718F036C" w:rsidR="008D2448" w:rsidRPr="001F5B24" w:rsidRDefault="00025FA5"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68.75</w:t>
            </w:r>
            <w:r w:rsidR="008D2448" w:rsidRPr="001F5B24">
              <w:rPr>
                <w:rFonts w:ascii="Times New Roman" w:hAnsi="Times New Roman" w:cs="Times New Roman"/>
                <w:color w:val="auto"/>
                <w:sz w:val="24"/>
                <w:szCs w:val="24"/>
              </w:rPr>
              <w:t>%</w:t>
            </w:r>
          </w:p>
        </w:tc>
        <w:tc>
          <w:tcPr>
            <w:tcW w:w="803" w:type="dxa"/>
          </w:tcPr>
          <w:p w14:paraId="0B0C8C85" w14:textId="79892CE7" w:rsidR="008D2448" w:rsidRPr="001F5B24" w:rsidRDefault="00025FA5"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B36061" w:rsidRPr="001F5B24" w14:paraId="5A860315" w14:textId="1331DDC1" w:rsidTr="00B36061">
        <w:trPr>
          <w:trHeight w:val="275"/>
        </w:trPr>
        <w:tc>
          <w:tcPr>
            <w:cnfStyle w:val="001000000000" w:firstRow="0" w:lastRow="0" w:firstColumn="1" w:lastColumn="0" w:oddVBand="0" w:evenVBand="0" w:oddHBand="0" w:evenHBand="0" w:firstRowFirstColumn="0" w:firstRowLastColumn="0" w:lastRowFirstColumn="0" w:lastRowLastColumn="0"/>
            <w:tcW w:w="1216" w:type="dxa"/>
          </w:tcPr>
          <w:p w14:paraId="43BE6AA1" w14:textId="612775DB" w:rsidR="008D2448" w:rsidRPr="001F5B24" w:rsidRDefault="008D2448" w:rsidP="006C1DF2">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All Levels </w:t>
            </w:r>
          </w:p>
        </w:tc>
        <w:tc>
          <w:tcPr>
            <w:tcW w:w="723" w:type="dxa"/>
          </w:tcPr>
          <w:p w14:paraId="7B0D8BD6" w14:textId="5D0613BE" w:rsidR="008D2448" w:rsidRPr="001F5B24" w:rsidRDefault="008D2448" w:rsidP="006C1DF2">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160</w:t>
            </w:r>
          </w:p>
        </w:tc>
        <w:tc>
          <w:tcPr>
            <w:tcW w:w="956" w:type="dxa"/>
          </w:tcPr>
          <w:p w14:paraId="51BA796B" w14:textId="4BCCF755"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21.87%</w:t>
            </w:r>
          </w:p>
        </w:tc>
        <w:tc>
          <w:tcPr>
            <w:tcW w:w="803" w:type="dxa"/>
          </w:tcPr>
          <w:p w14:paraId="79D0CE44" w14:textId="69FF7369"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35</w:t>
            </w:r>
          </w:p>
        </w:tc>
        <w:tc>
          <w:tcPr>
            <w:tcW w:w="936" w:type="dxa"/>
          </w:tcPr>
          <w:p w14:paraId="05513D52" w14:textId="227E81F3"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1.87%</w:t>
            </w:r>
          </w:p>
        </w:tc>
        <w:tc>
          <w:tcPr>
            <w:tcW w:w="803" w:type="dxa"/>
          </w:tcPr>
          <w:p w14:paraId="3EEE35CA" w14:textId="4544C20E"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w:t>
            </w:r>
          </w:p>
        </w:tc>
        <w:tc>
          <w:tcPr>
            <w:tcW w:w="936" w:type="dxa"/>
          </w:tcPr>
          <w:p w14:paraId="317FB61D" w14:textId="64916E3C"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2.5%</w:t>
            </w:r>
          </w:p>
        </w:tc>
        <w:tc>
          <w:tcPr>
            <w:tcW w:w="803" w:type="dxa"/>
          </w:tcPr>
          <w:p w14:paraId="6B26A823" w14:textId="20CC7E06" w:rsidR="008D2448" w:rsidRPr="00485DEA"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5DEA">
              <w:rPr>
                <w:rFonts w:ascii="Times New Roman" w:hAnsi="Times New Roman" w:cs="Times New Roman"/>
                <w:color w:val="auto"/>
                <w:sz w:val="24"/>
                <w:szCs w:val="24"/>
              </w:rPr>
              <w:t>4</w:t>
            </w:r>
          </w:p>
        </w:tc>
        <w:tc>
          <w:tcPr>
            <w:tcW w:w="936" w:type="dxa"/>
          </w:tcPr>
          <w:p w14:paraId="0A47680F" w14:textId="4B1E83C9" w:rsidR="008D2448" w:rsidRPr="00485DEA" w:rsidRDefault="00485DEA"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85DEA">
              <w:rPr>
                <w:rFonts w:ascii="Times New Roman" w:hAnsi="Times New Roman" w:cs="Times New Roman"/>
                <w:color w:val="auto"/>
                <w:sz w:val="24"/>
                <w:szCs w:val="24"/>
              </w:rPr>
              <w:t>1.88%</w:t>
            </w:r>
          </w:p>
        </w:tc>
        <w:tc>
          <w:tcPr>
            <w:tcW w:w="803" w:type="dxa"/>
          </w:tcPr>
          <w:p w14:paraId="706E7C0C" w14:textId="08846274" w:rsidR="008D2448" w:rsidRPr="00EF4C25" w:rsidRDefault="00F31224"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r w:rsidRPr="00F31224">
              <w:rPr>
                <w:rFonts w:ascii="Times New Roman" w:hAnsi="Times New Roman" w:cs="Times New Roman"/>
                <w:color w:val="auto"/>
                <w:sz w:val="24"/>
                <w:szCs w:val="24"/>
              </w:rPr>
              <w:t>3</w:t>
            </w:r>
          </w:p>
        </w:tc>
        <w:tc>
          <w:tcPr>
            <w:tcW w:w="956" w:type="dxa"/>
          </w:tcPr>
          <w:p w14:paraId="46663E3B" w14:textId="289C6E09"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r w:rsidR="00B104CF">
              <w:rPr>
                <w:rFonts w:ascii="Times New Roman" w:hAnsi="Times New Roman" w:cs="Times New Roman"/>
                <w:color w:val="auto"/>
                <w:sz w:val="24"/>
                <w:szCs w:val="24"/>
              </w:rPr>
              <w:t>8.12</w:t>
            </w:r>
            <w:r w:rsidRPr="001F5B24">
              <w:rPr>
                <w:rFonts w:ascii="Times New Roman" w:hAnsi="Times New Roman" w:cs="Times New Roman"/>
                <w:color w:val="auto"/>
                <w:sz w:val="24"/>
                <w:szCs w:val="24"/>
              </w:rPr>
              <w:t>%</w:t>
            </w:r>
          </w:p>
        </w:tc>
        <w:tc>
          <w:tcPr>
            <w:tcW w:w="803" w:type="dxa"/>
          </w:tcPr>
          <w:p w14:paraId="7B14FBD8" w14:textId="08721528" w:rsidR="008D2448" w:rsidRPr="001F5B24" w:rsidRDefault="008D2448" w:rsidP="006C1DF2">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w:t>
            </w:r>
            <w:r w:rsidR="00157D6B">
              <w:rPr>
                <w:rFonts w:ascii="Times New Roman" w:hAnsi="Times New Roman" w:cs="Times New Roman"/>
                <w:color w:val="auto"/>
                <w:sz w:val="24"/>
                <w:szCs w:val="24"/>
              </w:rPr>
              <w:t>5</w:t>
            </w:r>
          </w:p>
        </w:tc>
      </w:tr>
    </w:tbl>
    <w:p w14:paraId="3AE5252C" w14:textId="77777777" w:rsidR="00883683" w:rsidRDefault="00883683" w:rsidP="009672A8">
      <w:pPr>
        <w:jc w:val="both"/>
        <w:rPr>
          <w:rFonts w:ascii="Times New Roman" w:hAnsi="Times New Roman" w:cs="Times New Roman"/>
          <w:sz w:val="24"/>
          <w:szCs w:val="24"/>
        </w:rPr>
      </w:pPr>
    </w:p>
    <w:p w14:paraId="0F6D9F05" w14:textId="4EDC130E" w:rsidR="00A56F2B" w:rsidRDefault="00D828D5" w:rsidP="009672A8">
      <w:pPr>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Zip code prevalence </w:t>
      </w:r>
    </w:p>
    <w:p w14:paraId="110D0EC9" w14:textId="716D8A17" w:rsidR="003D5706" w:rsidRDefault="00287B84" w:rsidP="00287B84">
      <w:pPr>
        <w:jc w:val="both"/>
        <w:rPr>
          <w:rFonts w:ascii="Times New Roman" w:hAnsi="Times New Roman" w:cs="Times New Roman"/>
          <w:sz w:val="24"/>
          <w:szCs w:val="24"/>
        </w:rPr>
      </w:pPr>
      <w:r w:rsidRPr="00287B84">
        <w:rPr>
          <w:rFonts w:ascii="Times New Roman" w:hAnsi="Times New Roman" w:cs="Times New Roman"/>
          <w:sz w:val="24"/>
          <w:szCs w:val="24"/>
        </w:rPr>
        <w:t>Of the individuals assessed for ORAS-PAT, the majority live</w:t>
      </w:r>
      <w:r w:rsidR="00542377">
        <w:rPr>
          <w:rFonts w:ascii="Times New Roman" w:hAnsi="Times New Roman" w:cs="Times New Roman"/>
          <w:sz w:val="24"/>
          <w:szCs w:val="24"/>
        </w:rPr>
        <w:t>d</w:t>
      </w:r>
      <w:r w:rsidRPr="00287B84">
        <w:rPr>
          <w:rFonts w:ascii="Times New Roman" w:hAnsi="Times New Roman" w:cs="Times New Roman"/>
          <w:sz w:val="24"/>
          <w:szCs w:val="24"/>
        </w:rPr>
        <w:t xml:space="preserve"> in the following zip codes: 94533(24%), 94590 (14%), and 95687 (9%). Likewise, those individuals assessed and released on pretrial supervision live</w:t>
      </w:r>
      <w:r w:rsidR="00542377">
        <w:rPr>
          <w:rFonts w:ascii="Times New Roman" w:hAnsi="Times New Roman" w:cs="Times New Roman"/>
          <w:sz w:val="24"/>
          <w:szCs w:val="24"/>
        </w:rPr>
        <w:t>d</w:t>
      </w:r>
      <w:r w:rsidRPr="00287B84">
        <w:rPr>
          <w:rFonts w:ascii="Times New Roman" w:hAnsi="Times New Roman" w:cs="Times New Roman"/>
          <w:sz w:val="24"/>
          <w:szCs w:val="24"/>
        </w:rPr>
        <w:t xml:space="preserve"> in the same zip codes: 94533 (16%), 94590 (11%), and 95687 (12%). </w:t>
      </w:r>
    </w:p>
    <w:p w14:paraId="333E9782" w14:textId="77777777" w:rsidR="006C04C6" w:rsidRDefault="006C04C6" w:rsidP="006C04C6">
      <w:pPr>
        <w:jc w:val="center"/>
        <w:rPr>
          <w:rFonts w:ascii="Times New Roman" w:hAnsi="Times New Roman" w:cs="Times New Roman"/>
          <w:b/>
          <w:bCs/>
          <w:color w:val="4472C4" w:themeColor="accent1"/>
          <w:sz w:val="40"/>
          <w:szCs w:val="40"/>
        </w:rPr>
      </w:pPr>
    </w:p>
    <w:p w14:paraId="5BA47E03" w14:textId="77777777" w:rsidR="006C04C6" w:rsidRDefault="006C04C6" w:rsidP="006C04C6">
      <w:pPr>
        <w:jc w:val="center"/>
        <w:rPr>
          <w:rFonts w:ascii="Times New Roman" w:hAnsi="Times New Roman" w:cs="Times New Roman"/>
          <w:b/>
          <w:bCs/>
          <w:color w:val="4472C4" w:themeColor="accent1"/>
          <w:sz w:val="40"/>
          <w:szCs w:val="40"/>
        </w:rPr>
      </w:pPr>
    </w:p>
    <w:p w14:paraId="51DE6197" w14:textId="77777777" w:rsidR="006C04C6" w:rsidRDefault="006C04C6" w:rsidP="006C04C6">
      <w:pPr>
        <w:jc w:val="center"/>
        <w:rPr>
          <w:rFonts w:ascii="Times New Roman" w:hAnsi="Times New Roman" w:cs="Times New Roman"/>
          <w:b/>
          <w:bCs/>
          <w:color w:val="4472C4" w:themeColor="accent1"/>
          <w:sz w:val="40"/>
          <w:szCs w:val="40"/>
        </w:rPr>
      </w:pPr>
    </w:p>
    <w:p w14:paraId="0EA041E0" w14:textId="77777777" w:rsidR="006C04C6" w:rsidRDefault="006C04C6" w:rsidP="006C04C6">
      <w:pPr>
        <w:jc w:val="center"/>
        <w:rPr>
          <w:rFonts w:ascii="Times New Roman" w:hAnsi="Times New Roman" w:cs="Times New Roman"/>
          <w:b/>
          <w:bCs/>
          <w:color w:val="4472C4" w:themeColor="accent1"/>
          <w:sz w:val="40"/>
          <w:szCs w:val="40"/>
        </w:rPr>
      </w:pPr>
    </w:p>
    <w:p w14:paraId="700EFF36" w14:textId="77777777" w:rsidR="006C04C6" w:rsidRDefault="006C04C6" w:rsidP="006C04C6">
      <w:pPr>
        <w:jc w:val="center"/>
        <w:rPr>
          <w:rFonts w:ascii="Times New Roman" w:hAnsi="Times New Roman" w:cs="Times New Roman"/>
          <w:b/>
          <w:bCs/>
          <w:color w:val="4472C4" w:themeColor="accent1"/>
          <w:sz w:val="40"/>
          <w:szCs w:val="40"/>
        </w:rPr>
      </w:pPr>
    </w:p>
    <w:p w14:paraId="2F5B2130" w14:textId="3C8D6552" w:rsidR="009C30AE" w:rsidRPr="001F5B24" w:rsidRDefault="006C04C6" w:rsidP="006C04C6">
      <w:pPr>
        <w:jc w:val="center"/>
        <w:rPr>
          <w:rFonts w:ascii="Times New Roman" w:hAnsi="Times New Roman" w:cs="Times New Roman"/>
          <w:b/>
          <w:bCs/>
          <w:color w:val="4472C4" w:themeColor="accent1"/>
          <w:sz w:val="40"/>
          <w:szCs w:val="40"/>
        </w:rPr>
      </w:pPr>
      <w:r>
        <w:rPr>
          <w:rFonts w:ascii="Times New Roman" w:hAnsi="Times New Roman" w:cs="Times New Roman"/>
          <w:b/>
          <w:bCs/>
          <w:color w:val="4472C4" w:themeColor="accent1"/>
          <w:sz w:val="40"/>
          <w:szCs w:val="40"/>
        </w:rPr>
        <w:lastRenderedPageBreak/>
        <w:t xml:space="preserve">Outcomes for </w:t>
      </w:r>
      <w:r w:rsidR="009C30AE" w:rsidRPr="001F5B24">
        <w:rPr>
          <w:rFonts w:ascii="Times New Roman" w:hAnsi="Times New Roman" w:cs="Times New Roman"/>
          <w:b/>
          <w:bCs/>
          <w:color w:val="4472C4" w:themeColor="accent1"/>
          <w:sz w:val="40"/>
          <w:szCs w:val="40"/>
        </w:rPr>
        <w:t xml:space="preserve">2020 </w:t>
      </w:r>
      <w:r w:rsidR="00043EEC">
        <w:rPr>
          <w:rFonts w:ascii="Times New Roman" w:hAnsi="Times New Roman" w:cs="Times New Roman"/>
          <w:b/>
          <w:bCs/>
          <w:color w:val="4472C4" w:themeColor="accent1"/>
          <w:sz w:val="40"/>
          <w:szCs w:val="40"/>
        </w:rPr>
        <w:t>D</w:t>
      </w:r>
      <w:r w:rsidR="009C30AE" w:rsidRPr="001F5B24">
        <w:rPr>
          <w:rFonts w:ascii="Times New Roman" w:hAnsi="Times New Roman" w:cs="Times New Roman"/>
          <w:b/>
          <w:bCs/>
          <w:color w:val="4472C4" w:themeColor="accent1"/>
          <w:sz w:val="40"/>
          <w:szCs w:val="40"/>
        </w:rPr>
        <w:t>ata</w:t>
      </w:r>
    </w:p>
    <w:p w14:paraId="5614F206" w14:textId="541B4E4E" w:rsidR="009C30AE" w:rsidRPr="004A521F" w:rsidRDefault="009C30AE" w:rsidP="009C30AE">
      <w:pPr>
        <w:rPr>
          <w:rFonts w:ascii="Times New Roman" w:hAnsi="Times New Roman" w:cs="Times New Roman"/>
          <w:b/>
          <w:bCs/>
          <w:color w:val="4472C4" w:themeColor="accent1"/>
          <w:sz w:val="24"/>
          <w:szCs w:val="24"/>
        </w:rPr>
      </w:pPr>
      <w:r w:rsidRPr="004A521F">
        <w:rPr>
          <w:rFonts w:ascii="Times New Roman" w:eastAsia="MS Mincho" w:hAnsi="Times New Roman" w:cs="Times New Roman"/>
          <w:b/>
          <w:bCs/>
          <w:color w:val="4472C4" w:themeColor="accent1"/>
          <w:sz w:val="24"/>
          <w:szCs w:val="24"/>
        </w:rPr>
        <w:t>The number of assesse</w:t>
      </w:r>
      <w:r w:rsidR="00A84EFC" w:rsidRPr="004A521F">
        <w:rPr>
          <w:rFonts w:ascii="Times New Roman" w:eastAsia="MS Mincho" w:hAnsi="Times New Roman" w:cs="Times New Roman"/>
          <w:b/>
          <w:bCs/>
          <w:color w:val="4472C4" w:themeColor="accent1"/>
          <w:sz w:val="24"/>
          <w:szCs w:val="24"/>
        </w:rPr>
        <w:t>d</w:t>
      </w:r>
      <w:r w:rsidRPr="004A521F">
        <w:rPr>
          <w:rFonts w:ascii="Times New Roman" w:eastAsia="MS Mincho" w:hAnsi="Times New Roman" w:cs="Times New Roman"/>
          <w:b/>
          <w:bCs/>
          <w:color w:val="4472C4" w:themeColor="accent1"/>
          <w:sz w:val="24"/>
          <w:szCs w:val="24"/>
        </w:rPr>
        <w:t xml:space="preserve"> individuals by age, gender, race, or ethnicity</w:t>
      </w:r>
    </w:p>
    <w:p w14:paraId="4140B118" w14:textId="302C47A3" w:rsidR="00FD6D55" w:rsidRPr="004A521F" w:rsidRDefault="00743AD5" w:rsidP="004A521F">
      <w:pPr>
        <w:jc w:val="both"/>
        <w:rPr>
          <w:rFonts w:ascii="Times New Roman" w:hAnsi="Times New Roman" w:cs="Times New Roman"/>
          <w:sz w:val="24"/>
          <w:szCs w:val="24"/>
        </w:rPr>
      </w:pPr>
      <w:r w:rsidRPr="00743AD5">
        <w:rPr>
          <w:rFonts w:ascii="Times New Roman" w:hAnsi="Times New Roman" w:cs="Times New Roman"/>
          <w:sz w:val="24"/>
          <w:szCs w:val="24"/>
        </w:rPr>
        <w:t>The descriptive statistics of the data set for 2020 obtained 5</w:t>
      </w:r>
      <w:r w:rsidR="00EF14C5">
        <w:rPr>
          <w:rFonts w:ascii="Times New Roman" w:hAnsi="Times New Roman" w:cs="Times New Roman"/>
          <w:sz w:val="24"/>
          <w:szCs w:val="24"/>
        </w:rPr>
        <w:t>58</w:t>
      </w:r>
      <w:r w:rsidRPr="00743AD5">
        <w:rPr>
          <w:rFonts w:ascii="Times New Roman" w:hAnsi="Times New Roman" w:cs="Times New Roman"/>
          <w:sz w:val="24"/>
          <w:szCs w:val="24"/>
        </w:rPr>
        <w:t xml:space="preserve"> observations, including all assessed individuals regardless of release type. The lower numbers in 2020 compared to 2019 are attributed to the COVID-19 pandemic, which resulted in reduced bookings in</w:t>
      </w:r>
      <w:r w:rsidR="00DF2082">
        <w:rPr>
          <w:rFonts w:ascii="Times New Roman" w:hAnsi="Times New Roman" w:cs="Times New Roman"/>
          <w:sz w:val="24"/>
          <w:szCs w:val="24"/>
        </w:rPr>
        <w:t>to</w:t>
      </w:r>
      <w:r w:rsidRPr="00743AD5">
        <w:rPr>
          <w:rFonts w:ascii="Times New Roman" w:hAnsi="Times New Roman" w:cs="Times New Roman"/>
          <w:sz w:val="24"/>
          <w:szCs w:val="24"/>
        </w:rPr>
        <w:t xml:space="preserve"> the county jail. The Judicial Council of California also adopted an emergency $0 bail </w:t>
      </w:r>
      <w:r w:rsidR="00DF2082">
        <w:rPr>
          <w:rFonts w:ascii="Times New Roman" w:hAnsi="Times New Roman" w:cs="Times New Roman"/>
          <w:sz w:val="24"/>
          <w:szCs w:val="24"/>
        </w:rPr>
        <w:t>schedule</w:t>
      </w:r>
      <w:r w:rsidRPr="00743AD5">
        <w:rPr>
          <w:rFonts w:ascii="Times New Roman" w:hAnsi="Times New Roman" w:cs="Times New Roman"/>
          <w:sz w:val="24"/>
          <w:szCs w:val="24"/>
        </w:rPr>
        <w:t xml:space="preserve"> for most felonies and misdemeanors, from Spring to Summer of 2020, which maximized release from the jail </w:t>
      </w:r>
      <w:proofErr w:type="gramStart"/>
      <w:r w:rsidRPr="00743AD5">
        <w:rPr>
          <w:rFonts w:ascii="Times New Roman" w:hAnsi="Times New Roman" w:cs="Times New Roman"/>
          <w:sz w:val="24"/>
          <w:szCs w:val="24"/>
        </w:rPr>
        <w:t>in order to</w:t>
      </w:r>
      <w:proofErr w:type="gramEnd"/>
      <w:r w:rsidRPr="00743AD5">
        <w:rPr>
          <w:rFonts w:ascii="Times New Roman" w:hAnsi="Times New Roman" w:cs="Times New Roman"/>
          <w:sz w:val="24"/>
          <w:szCs w:val="24"/>
        </w:rPr>
        <w:t xml:space="preserve"> prevent the spread of COVID-19 in custody and significantly reduced the number of eligible candidates to be screened for pretrial release. Compared to 2019, in 2020, the male population comprised 82%, while the female population was 17%. The racial and ethnic composition considered </w:t>
      </w:r>
      <w:r w:rsidR="005F4BE7">
        <w:rPr>
          <w:rFonts w:ascii="Times New Roman" w:hAnsi="Times New Roman" w:cs="Times New Roman"/>
          <w:sz w:val="24"/>
          <w:szCs w:val="24"/>
        </w:rPr>
        <w:t>assessed</w:t>
      </w:r>
      <w:r w:rsidR="003A34AE">
        <w:rPr>
          <w:rFonts w:ascii="Times New Roman" w:hAnsi="Times New Roman" w:cs="Times New Roman"/>
          <w:sz w:val="24"/>
          <w:szCs w:val="24"/>
        </w:rPr>
        <w:t xml:space="preserve"> for </w:t>
      </w:r>
      <w:r w:rsidR="00BD7EAF">
        <w:rPr>
          <w:rFonts w:ascii="Times New Roman" w:hAnsi="Times New Roman" w:cs="Times New Roman"/>
          <w:sz w:val="24"/>
          <w:szCs w:val="24"/>
        </w:rPr>
        <w:t xml:space="preserve">the </w:t>
      </w:r>
      <w:r w:rsidR="003A34AE">
        <w:rPr>
          <w:rFonts w:ascii="Times New Roman" w:hAnsi="Times New Roman" w:cs="Times New Roman"/>
          <w:sz w:val="24"/>
          <w:szCs w:val="24"/>
        </w:rPr>
        <w:t>ORAS-PAT</w:t>
      </w:r>
      <w:r w:rsidR="005F4BE7">
        <w:rPr>
          <w:rFonts w:ascii="Times New Roman" w:hAnsi="Times New Roman" w:cs="Times New Roman"/>
          <w:sz w:val="24"/>
          <w:szCs w:val="24"/>
        </w:rPr>
        <w:t xml:space="preserve"> </w:t>
      </w:r>
      <w:r w:rsidRPr="00743AD5">
        <w:rPr>
          <w:rFonts w:ascii="Times New Roman" w:hAnsi="Times New Roman" w:cs="Times New Roman"/>
          <w:sz w:val="24"/>
          <w:szCs w:val="24"/>
        </w:rPr>
        <w:t>was 29% white, 43% Black, 21% Latine, 5% Asian, less than</w:t>
      </w:r>
      <w:r w:rsidR="0058433C">
        <w:rPr>
          <w:rFonts w:ascii="Times New Roman" w:hAnsi="Times New Roman" w:cs="Times New Roman"/>
          <w:sz w:val="24"/>
          <w:szCs w:val="24"/>
        </w:rPr>
        <w:t xml:space="preserve"> one percent</w:t>
      </w:r>
      <w:r w:rsidRPr="00743AD5">
        <w:rPr>
          <w:rFonts w:ascii="Times New Roman" w:hAnsi="Times New Roman" w:cs="Times New Roman"/>
          <w:sz w:val="24"/>
          <w:szCs w:val="24"/>
        </w:rPr>
        <w:t xml:space="preserve"> Native Americans, and less than </w:t>
      </w:r>
      <w:r w:rsidR="0058433C">
        <w:rPr>
          <w:rFonts w:ascii="Times New Roman" w:hAnsi="Times New Roman" w:cs="Times New Roman"/>
          <w:sz w:val="24"/>
          <w:szCs w:val="24"/>
        </w:rPr>
        <w:t>two percent</w:t>
      </w:r>
      <w:r w:rsidRPr="00743AD5">
        <w:rPr>
          <w:rFonts w:ascii="Times New Roman" w:hAnsi="Times New Roman" w:cs="Times New Roman"/>
          <w:sz w:val="24"/>
          <w:szCs w:val="24"/>
        </w:rPr>
        <w:t xml:space="preserve"> other. Of those assessed, 39% were between 26 to 35 and 23% between 36 to 45; only 5% were older than 56.</w:t>
      </w:r>
    </w:p>
    <w:p w14:paraId="13BC9E19" w14:textId="189823C9" w:rsidR="009C30AE" w:rsidRPr="001F5B24" w:rsidRDefault="00E65A98" w:rsidP="004A521F">
      <w:pPr>
        <w:jc w:val="both"/>
        <w:rPr>
          <w:rFonts w:ascii="Times New Roman" w:hAnsi="Times New Roman" w:cs="Times New Roman"/>
          <w:b/>
          <w:bCs/>
          <w:sz w:val="24"/>
          <w:szCs w:val="24"/>
        </w:rPr>
      </w:pPr>
      <w:r>
        <w:rPr>
          <w:rFonts w:ascii="Times New Roman" w:hAnsi="Times New Roman" w:cs="Times New Roman"/>
          <w:b/>
          <w:bCs/>
          <w:sz w:val="24"/>
          <w:szCs w:val="24"/>
        </w:rPr>
        <w:t>Table</w:t>
      </w:r>
      <w:r w:rsidR="009C30AE" w:rsidRPr="001F5B24">
        <w:rPr>
          <w:rFonts w:ascii="Times New Roman" w:hAnsi="Times New Roman" w:cs="Times New Roman"/>
          <w:b/>
          <w:bCs/>
          <w:sz w:val="24"/>
          <w:szCs w:val="24"/>
        </w:rPr>
        <w:t xml:space="preserve"> </w:t>
      </w:r>
      <w:r w:rsidR="00F750F5">
        <w:rPr>
          <w:rFonts w:ascii="Times New Roman" w:hAnsi="Times New Roman" w:cs="Times New Roman"/>
          <w:b/>
          <w:bCs/>
          <w:sz w:val="24"/>
          <w:szCs w:val="24"/>
        </w:rPr>
        <w:t>6</w:t>
      </w:r>
      <w:r w:rsidR="009C30AE" w:rsidRPr="001F5B24">
        <w:rPr>
          <w:rFonts w:ascii="Times New Roman" w:hAnsi="Times New Roman" w:cs="Times New Roman"/>
          <w:b/>
          <w:bCs/>
          <w:sz w:val="24"/>
          <w:szCs w:val="24"/>
        </w:rPr>
        <w:t>: 2020 data population (n=5</w:t>
      </w:r>
      <w:r w:rsidR="00D17DDA">
        <w:rPr>
          <w:rFonts w:ascii="Times New Roman" w:hAnsi="Times New Roman" w:cs="Times New Roman"/>
          <w:b/>
          <w:bCs/>
          <w:sz w:val="24"/>
          <w:szCs w:val="24"/>
        </w:rPr>
        <w:t>58</w:t>
      </w:r>
      <w:r w:rsidR="009C30AE" w:rsidRPr="001F5B24">
        <w:rPr>
          <w:rFonts w:ascii="Times New Roman" w:hAnsi="Times New Roman" w:cs="Times New Roman"/>
          <w:b/>
          <w:bCs/>
          <w:sz w:val="24"/>
          <w:szCs w:val="24"/>
        </w:rPr>
        <w:t xml:space="preserve">) </w:t>
      </w:r>
    </w:p>
    <w:tbl>
      <w:tblPr>
        <w:tblStyle w:val="GridTable1Light1"/>
        <w:tblW w:w="0" w:type="auto"/>
        <w:tblLook w:val="04A0" w:firstRow="1" w:lastRow="0" w:firstColumn="1" w:lastColumn="0" w:noHBand="0" w:noVBand="1"/>
      </w:tblPr>
      <w:tblGrid>
        <w:gridCol w:w="2337"/>
        <w:gridCol w:w="1258"/>
        <w:gridCol w:w="2340"/>
        <w:gridCol w:w="2520"/>
      </w:tblGrid>
      <w:tr w:rsidR="009C30AE" w:rsidRPr="001F5B24" w14:paraId="54883192" w14:textId="77777777" w:rsidTr="00E27AE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609D0C4" w14:textId="77777777" w:rsidR="009C30AE" w:rsidRPr="001F5B24" w:rsidRDefault="009C30AE" w:rsidP="00E27AE1">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Demographics </w:t>
            </w:r>
          </w:p>
        </w:tc>
        <w:tc>
          <w:tcPr>
            <w:tcW w:w="1258" w:type="dxa"/>
          </w:tcPr>
          <w:p w14:paraId="019AC513" w14:textId="77777777" w:rsidR="009C30AE" w:rsidRPr="001F5B24" w:rsidRDefault="009C30AE" w:rsidP="00E27AE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29872386" w14:textId="77777777" w:rsidR="009C30AE" w:rsidRPr="001F5B24" w:rsidRDefault="009C30AE" w:rsidP="00E27A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N</w:t>
            </w:r>
          </w:p>
        </w:tc>
        <w:tc>
          <w:tcPr>
            <w:tcW w:w="2520" w:type="dxa"/>
          </w:tcPr>
          <w:p w14:paraId="406A994F" w14:textId="77777777" w:rsidR="009C30AE" w:rsidRPr="001F5B24" w:rsidRDefault="009C30AE" w:rsidP="00E27AE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w:t>
            </w:r>
          </w:p>
        </w:tc>
      </w:tr>
      <w:tr w:rsidR="009C30AE" w:rsidRPr="001F5B24" w14:paraId="253D72E2" w14:textId="77777777" w:rsidTr="00E27AE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07E28350" w14:textId="77777777" w:rsidR="009C30AE" w:rsidRPr="001F5B24" w:rsidRDefault="009C30AE" w:rsidP="00E27AE1">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Gender </w:t>
            </w:r>
          </w:p>
        </w:tc>
        <w:tc>
          <w:tcPr>
            <w:tcW w:w="1258" w:type="dxa"/>
          </w:tcPr>
          <w:p w14:paraId="17D43C4D"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441A1E34"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39058EA0"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9C30AE" w:rsidRPr="001F5B24" w14:paraId="33BC1BB1"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CE9237D"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27034D4D"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Female</w:t>
            </w:r>
          </w:p>
        </w:tc>
        <w:tc>
          <w:tcPr>
            <w:tcW w:w="2340" w:type="dxa"/>
          </w:tcPr>
          <w:p w14:paraId="44B9431C" w14:textId="2CCB21C5"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10</w:t>
            </w:r>
            <w:r w:rsidR="00A179D8">
              <w:rPr>
                <w:rFonts w:ascii="Times New Roman" w:eastAsia="MS Mincho" w:hAnsi="Times New Roman" w:cs="Times New Roman"/>
              </w:rPr>
              <w:t>0</w:t>
            </w:r>
          </w:p>
        </w:tc>
        <w:tc>
          <w:tcPr>
            <w:tcW w:w="2520" w:type="dxa"/>
          </w:tcPr>
          <w:p w14:paraId="12507599" w14:textId="725DFBC8"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17.9</w:t>
            </w:r>
            <w:r w:rsidR="00A179D8">
              <w:rPr>
                <w:rFonts w:ascii="Times New Roman" w:eastAsia="MS Mincho" w:hAnsi="Times New Roman" w:cs="Times New Roman"/>
              </w:rPr>
              <w:t>2</w:t>
            </w:r>
          </w:p>
        </w:tc>
      </w:tr>
      <w:tr w:rsidR="008561E0" w:rsidRPr="001F5B24" w14:paraId="079B6FB2"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0203F57" w14:textId="77777777" w:rsidR="008561E0" w:rsidRPr="001F5B24" w:rsidRDefault="008561E0" w:rsidP="00A07AC4">
            <w:pPr>
              <w:spacing w:line="276" w:lineRule="auto"/>
              <w:rPr>
                <w:rFonts w:ascii="Times New Roman" w:eastAsia="MS Mincho" w:hAnsi="Times New Roman" w:cs="Times New Roman"/>
              </w:rPr>
            </w:pPr>
          </w:p>
        </w:tc>
        <w:tc>
          <w:tcPr>
            <w:tcW w:w="1258" w:type="dxa"/>
          </w:tcPr>
          <w:p w14:paraId="002ACE64" w14:textId="77777777" w:rsidR="008561E0" w:rsidRPr="001F5B24" w:rsidRDefault="008561E0" w:rsidP="00A07AC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Male</w:t>
            </w:r>
          </w:p>
        </w:tc>
        <w:tc>
          <w:tcPr>
            <w:tcW w:w="2340" w:type="dxa"/>
          </w:tcPr>
          <w:p w14:paraId="053C8762" w14:textId="77777777" w:rsidR="008561E0" w:rsidRPr="001F5B24" w:rsidRDefault="008561E0" w:rsidP="00A07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4</w:t>
            </w:r>
            <w:r>
              <w:rPr>
                <w:rFonts w:ascii="Times New Roman" w:eastAsia="MS Mincho" w:hAnsi="Times New Roman" w:cs="Times New Roman"/>
              </w:rPr>
              <w:t>58</w:t>
            </w:r>
          </w:p>
        </w:tc>
        <w:tc>
          <w:tcPr>
            <w:tcW w:w="2520" w:type="dxa"/>
          </w:tcPr>
          <w:p w14:paraId="7E225ECA" w14:textId="77777777" w:rsidR="008561E0" w:rsidRPr="001F5B24" w:rsidRDefault="008561E0" w:rsidP="00A07AC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82.0</w:t>
            </w:r>
            <w:r>
              <w:rPr>
                <w:rFonts w:ascii="Times New Roman" w:eastAsia="MS Mincho" w:hAnsi="Times New Roman" w:cs="Times New Roman"/>
              </w:rPr>
              <w:t>8</w:t>
            </w:r>
          </w:p>
        </w:tc>
      </w:tr>
      <w:tr w:rsidR="009C30AE" w:rsidRPr="001F5B24" w14:paraId="56CB29B7"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27F161D" w14:textId="77777777" w:rsidR="009C30AE" w:rsidRPr="001F5B24" w:rsidRDefault="009C30AE" w:rsidP="00E27AE1">
            <w:pPr>
              <w:spacing w:line="276" w:lineRule="auto"/>
              <w:rPr>
                <w:rFonts w:ascii="Times New Roman" w:eastAsia="MS Mincho" w:hAnsi="Times New Roman" w:cs="Times New Roman"/>
              </w:rPr>
            </w:pPr>
            <w:r w:rsidRPr="001F5B24">
              <w:rPr>
                <w:rFonts w:ascii="Times New Roman" w:eastAsia="MS Mincho" w:hAnsi="Times New Roman" w:cs="Times New Roman"/>
              </w:rPr>
              <w:t>Race</w:t>
            </w:r>
          </w:p>
        </w:tc>
        <w:tc>
          <w:tcPr>
            <w:tcW w:w="1258" w:type="dxa"/>
          </w:tcPr>
          <w:p w14:paraId="708034F1"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017BFCAA"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0C98A3A8"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9C30AE" w:rsidRPr="001F5B24" w14:paraId="3373E56A"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38A5A30A"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456C8A54"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Black</w:t>
            </w:r>
          </w:p>
        </w:tc>
        <w:tc>
          <w:tcPr>
            <w:tcW w:w="2340" w:type="dxa"/>
          </w:tcPr>
          <w:p w14:paraId="70038E3B" w14:textId="30211305"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w:t>
            </w:r>
            <w:r w:rsidR="003312AC">
              <w:rPr>
                <w:rFonts w:ascii="Times New Roman" w:eastAsia="MS Mincho" w:hAnsi="Times New Roman" w:cs="Times New Roman"/>
              </w:rPr>
              <w:t>39</w:t>
            </w:r>
          </w:p>
        </w:tc>
        <w:tc>
          <w:tcPr>
            <w:tcW w:w="2520" w:type="dxa"/>
          </w:tcPr>
          <w:p w14:paraId="537465D8" w14:textId="37F55B76"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4</w:t>
            </w:r>
            <w:r w:rsidR="003312AC">
              <w:rPr>
                <w:rFonts w:ascii="Times New Roman" w:eastAsia="MS Mincho" w:hAnsi="Times New Roman" w:cs="Times New Roman"/>
              </w:rPr>
              <w:t>2.83</w:t>
            </w:r>
          </w:p>
        </w:tc>
      </w:tr>
      <w:tr w:rsidR="008561E0" w:rsidRPr="001F5B24" w14:paraId="374104D1"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14CD0C4B" w14:textId="77777777" w:rsidR="008561E0" w:rsidRPr="001F5B24" w:rsidRDefault="008561E0" w:rsidP="008561E0">
            <w:pPr>
              <w:spacing w:line="276" w:lineRule="auto"/>
              <w:rPr>
                <w:rFonts w:ascii="Times New Roman" w:eastAsia="MS Mincho" w:hAnsi="Times New Roman" w:cs="Times New Roman"/>
              </w:rPr>
            </w:pPr>
          </w:p>
        </w:tc>
        <w:tc>
          <w:tcPr>
            <w:tcW w:w="1258" w:type="dxa"/>
          </w:tcPr>
          <w:p w14:paraId="195D4768" w14:textId="33D0D7CA" w:rsidR="008561E0" w:rsidRPr="001F5B24" w:rsidRDefault="008561E0" w:rsidP="008561E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white</w:t>
            </w:r>
          </w:p>
        </w:tc>
        <w:tc>
          <w:tcPr>
            <w:tcW w:w="2340" w:type="dxa"/>
          </w:tcPr>
          <w:p w14:paraId="2A891010" w14:textId="6DF32098" w:rsidR="008561E0" w:rsidRPr="001F5B24" w:rsidRDefault="008561E0" w:rsidP="008561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16</w:t>
            </w:r>
            <w:r>
              <w:rPr>
                <w:rFonts w:ascii="Times New Roman" w:eastAsia="MS Mincho" w:hAnsi="Times New Roman" w:cs="Times New Roman"/>
              </w:rPr>
              <w:t>4</w:t>
            </w:r>
          </w:p>
        </w:tc>
        <w:tc>
          <w:tcPr>
            <w:tcW w:w="2520" w:type="dxa"/>
          </w:tcPr>
          <w:p w14:paraId="673A00E3" w14:textId="23365A9C" w:rsidR="008561E0" w:rsidRPr="001F5B24" w:rsidRDefault="008561E0" w:rsidP="008561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29.3</w:t>
            </w:r>
            <w:r>
              <w:rPr>
                <w:rFonts w:ascii="Times New Roman" w:eastAsia="MS Mincho" w:hAnsi="Times New Roman" w:cs="Times New Roman"/>
              </w:rPr>
              <w:t>9</w:t>
            </w:r>
          </w:p>
        </w:tc>
      </w:tr>
      <w:tr w:rsidR="009C30AE" w:rsidRPr="001F5B24" w14:paraId="0F14BD3C"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0034D41A"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05B98C97"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Latine</w:t>
            </w:r>
            <w:r w:rsidRPr="001F5B24">
              <w:rPr>
                <w:rFonts w:ascii="Times New Roman" w:eastAsia="MS Mincho" w:hAnsi="Times New Roman" w:cs="Times New Roman"/>
                <w:vertAlign w:val="superscript"/>
              </w:rPr>
              <w:footnoteReference w:id="6"/>
            </w:r>
          </w:p>
        </w:tc>
        <w:tc>
          <w:tcPr>
            <w:tcW w:w="2340" w:type="dxa"/>
          </w:tcPr>
          <w:p w14:paraId="3A53379A"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117</w:t>
            </w:r>
          </w:p>
        </w:tc>
        <w:tc>
          <w:tcPr>
            <w:tcW w:w="2520" w:type="dxa"/>
          </w:tcPr>
          <w:p w14:paraId="2588E061" w14:textId="59B24E02"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20.</w:t>
            </w:r>
            <w:r w:rsidR="003312AC">
              <w:rPr>
                <w:rFonts w:ascii="Times New Roman" w:eastAsia="MS Mincho" w:hAnsi="Times New Roman" w:cs="Times New Roman"/>
              </w:rPr>
              <w:t>97</w:t>
            </w:r>
          </w:p>
        </w:tc>
      </w:tr>
      <w:tr w:rsidR="009C30AE" w:rsidRPr="001F5B24" w14:paraId="2F46DBD2"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29AC7207"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579F381B"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Asian</w:t>
            </w:r>
            <w:r w:rsidRPr="001F5B24">
              <w:rPr>
                <w:rFonts w:ascii="Times New Roman" w:eastAsia="MS Mincho" w:hAnsi="Times New Roman" w:cs="Times New Roman"/>
                <w:vertAlign w:val="superscript"/>
              </w:rPr>
              <w:footnoteReference w:id="7"/>
            </w:r>
          </w:p>
        </w:tc>
        <w:tc>
          <w:tcPr>
            <w:tcW w:w="2340" w:type="dxa"/>
          </w:tcPr>
          <w:p w14:paraId="12383B2E"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29</w:t>
            </w:r>
          </w:p>
        </w:tc>
        <w:tc>
          <w:tcPr>
            <w:tcW w:w="2520" w:type="dxa"/>
          </w:tcPr>
          <w:p w14:paraId="1242FF3F" w14:textId="4B7F1063"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w:t>
            </w:r>
            <w:r w:rsidR="003312AC">
              <w:rPr>
                <w:rFonts w:ascii="Times New Roman" w:eastAsia="MS Mincho" w:hAnsi="Times New Roman" w:cs="Times New Roman"/>
              </w:rPr>
              <w:t>20</w:t>
            </w:r>
          </w:p>
        </w:tc>
      </w:tr>
      <w:tr w:rsidR="009C30AE" w:rsidRPr="001F5B24" w14:paraId="6F8E2B8F"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C6BC927"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5E10AA0B"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 xml:space="preserve">Native Americans </w:t>
            </w:r>
          </w:p>
        </w:tc>
        <w:tc>
          <w:tcPr>
            <w:tcW w:w="2340" w:type="dxa"/>
          </w:tcPr>
          <w:p w14:paraId="40584FC6"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w:t>
            </w:r>
          </w:p>
        </w:tc>
        <w:tc>
          <w:tcPr>
            <w:tcW w:w="2520" w:type="dxa"/>
          </w:tcPr>
          <w:p w14:paraId="16F9285D"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.18</w:t>
            </w:r>
          </w:p>
        </w:tc>
      </w:tr>
      <w:tr w:rsidR="009C30AE" w:rsidRPr="001F5B24" w14:paraId="1E7AE224"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3C29FA7F"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317BA331"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 xml:space="preserve">Other </w:t>
            </w:r>
          </w:p>
        </w:tc>
        <w:tc>
          <w:tcPr>
            <w:tcW w:w="2340" w:type="dxa"/>
          </w:tcPr>
          <w:p w14:paraId="6F306C75"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8</w:t>
            </w:r>
          </w:p>
        </w:tc>
        <w:tc>
          <w:tcPr>
            <w:tcW w:w="2520" w:type="dxa"/>
          </w:tcPr>
          <w:p w14:paraId="2FBDC6A8" w14:textId="14A58093"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1.4</w:t>
            </w:r>
            <w:r w:rsidR="003312AC">
              <w:rPr>
                <w:rFonts w:ascii="Times New Roman" w:eastAsia="MS Mincho" w:hAnsi="Times New Roman" w:cs="Times New Roman"/>
              </w:rPr>
              <w:t>3</w:t>
            </w:r>
          </w:p>
        </w:tc>
      </w:tr>
      <w:tr w:rsidR="009C30AE" w:rsidRPr="001F5B24" w14:paraId="29FF7EBC"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6B424103" w14:textId="77777777" w:rsidR="009C30AE" w:rsidRPr="001F5B24" w:rsidRDefault="009C30AE" w:rsidP="00E27AE1">
            <w:pPr>
              <w:spacing w:line="276" w:lineRule="auto"/>
              <w:rPr>
                <w:rFonts w:ascii="Times New Roman" w:eastAsia="MS Mincho" w:hAnsi="Times New Roman" w:cs="Times New Roman"/>
              </w:rPr>
            </w:pPr>
            <w:r w:rsidRPr="001F5B24">
              <w:rPr>
                <w:rFonts w:ascii="Times New Roman" w:eastAsia="MS Mincho" w:hAnsi="Times New Roman" w:cs="Times New Roman"/>
              </w:rPr>
              <w:t xml:space="preserve">Age </w:t>
            </w:r>
          </w:p>
        </w:tc>
        <w:tc>
          <w:tcPr>
            <w:tcW w:w="1258" w:type="dxa"/>
          </w:tcPr>
          <w:p w14:paraId="67C50A4C"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340" w:type="dxa"/>
          </w:tcPr>
          <w:p w14:paraId="0D28E958"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c>
          <w:tcPr>
            <w:tcW w:w="2520" w:type="dxa"/>
          </w:tcPr>
          <w:p w14:paraId="758C7F60"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p>
        </w:tc>
      </w:tr>
      <w:tr w:rsidR="009C30AE" w:rsidRPr="001F5B24" w14:paraId="6A75000E"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9ADCBB0"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2B6BED2A"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18-25</w:t>
            </w:r>
          </w:p>
        </w:tc>
        <w:tc>
          <w:tcPr>
            <w:tcW w:w="2340" w:type="dxa"/>
          </w:tcPr>
          <w:p w14:paraId="66763002" w14:textId="65D39888"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11</w:t>
            </w:r>
            <w:r w:rsidR="00056F93">
              <w:rPr>
                <w:rFonts w:ascii="Times New Roman" w:eastAsia="MS Mincho" w:hAnsi="Times New Roman" w:cs="Times New Roman"/>
              </w:rPr>
              <w:t>0</w:t>
            </w:r>
          </w:p>
        </w:tc>
        <w:tc>
          <w:tcPr>
            <w:tcW w:w="2520" w:type="dxa"/>
          </w:tcPr>
          <w:p w14:paraId="5F1CAF11" w14:textId="272E0FCA"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19.7</w:t>
            </w:r>
            <w:r w:rsidR="00745889">
              <w:rPr>
                <w:rFonts w:ascii="Times New Roman" w:eastAsia="MS Mincho" w:hAnsi="Times New Roman" w:cs="Times New Roman"/>
              </w:rPr>
              <w:t>1</w:t>
            </w:r>
          </w:p>
        </w:tc>
      </w:tr>
      <w:tr w:rsidR="009C30AE" w:rsidRPr="001F5B24" w14:paraId="2CC9FEFD"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259013F8"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235AE6BD"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26-35</w:t>
            </w:r>
          </w:p>
        </w:tc>
        <w:tc>
          <w:tcPr>
            <w:tcW w:w="2340" w:type="dxa"/>
          </w:tcPr>
          <w:p w14:paraId="7152ABBC" w14:textId="234CBC98"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w:t>
            </w:r>
            <w:r w:rsidR="00745889">
              <w:rPr>
                <w:rFonts w:ascii="Times New Roman" w:eastAsia="MS Mincho" w:hAnsi="Times New Roman" w:cs="Times New Roman"/>
              </w:rPr>
              <w:t>19</w:t>
            </w:r>
          </w:p>
        </w:tc>
        <w:tc>
          <w:tcPr>
            <w:tcW w:w="2520" w:type="dxa"/>
          </w:tcPr>
          <w:p w14:paraId="0B934BA7" w14:textId="589CD18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39.</w:t>
            </w:r>
            <w:r w:rsidR="00011FFB">
              <w:rPr>
                <w:rFonts w:ascii="Times New Roman" w:eastAsia="MS Mincho" w:hAnsi="Times New Roman" w:cs="Times New Roman"/>
              </w:rPr>
              <w:t>25</w:t>
            </w:r>
          </w:p>
        </w:tc>
      </w:tr>
      <w:tr w:rsidR="009C30AE" w:rsidRPr="001F5B24" w14:paraId="729D2AF5"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5C480806"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5268BF65"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36-45</w:t>
            </w:r>
          </w:p>
        </w:tc>
        <w:tc>
          <w:tcPr>
            <w:tcW w:w="2340" w:type="dxa"/>
          </w:tcPr>
          <w:p w14:paraId="17837124" w14:textId="29A8F4FB"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13</w:t>
            </w:r>
            <w:r w:rsidR="00011FFB">
              <w:rPr>
                <w:rFonts w:ascii="Times New Roman" w:eastAsia="MS Mincho" w:hAnsi="Times New Roman" w:cs="Times New Roman"/>
              </w:rPr>
              <w:t>1</w:t>
            </w:r>
          </w:p>
        </w:tc>
        <w:tc>
          <w:tcPr>
            <w:tcW w:w="2520" w:type="dxa"/>
          </w:tcPr>
          <w:p w14:paraId="289837B0" w14:textId="73607A52"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23.4</w:t>
            </w:r>
            <w:r w:rsidR="00011FFB">
              <w:rPr>
                <w:rFonts w:ascii="Times New Roman" w:eastAsia="MS Mincho" w:hAnsi="Times New Roman" w:cs="Times New Roman"/>
              </w:rPr>
              <w:t>8</w:t>
            </w:r>
          </w:p>
        </w:tc>
      </w:tr>
      <w:tr w:rsidR="009C30AE" w:rsidRPr="001F5B24" w14:paraId="48E208B2"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1285F8E9"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38AAB885"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46-55</w:t>
            </w:r>
          </w:p>
        </w:tc>
        <w:tc>
          <w:tcPr>
            <w:tcW w:w="2340" w:type="dxa"/>
          </w:tcPr>
          <w:p w14:paraId="087590CD" w14:textId="098EC218"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6</w:t>
            </w:r>
            <w:r w:rsidR="00011FFB">
              <w:rPr>
                <w:rFonts w:ascii="Times New Roman" w:eastAsia="MS Mincho" w:hAnsi="Times New Roman" w:cs="Times New Roman"/>
              </w:rPr>
              <w:t>8</w:t>
            </w:r>
          </w:p>
        </w:tc>
        <w:tc>
          <w:tcPr>
            <w:tcW w:w="2520" w:type="dxa"/>
          </w:tcPr>
          <w:p w14:paraId="2140AAB8" w14:textId="6B81A6F9"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12.</w:t>
            </w:r>
            <w:r w:rsidR="00406962">
              <w:rPr>
                <w:rFonts w:ascii="Times New Roman" w:eastAsia="MS Mincho" w:hAnsi="Times New Roman" w:cs="Times New Roman"/>
              </w:rPr>
              <w:t>19</w:t>
            </w:r>
          </w:p>
        </w:tc>
      </w:tr>
      <w:tr w:rsidR="009C30AE" w:rsidRPr="001F5B24" w14:paraId="38752F74" w14:textId="77777777" w:rsidTr="00E27AE1">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227462D1" w14:textId="77777777" w:rsidR="009C30AE" w:rsidRPr="001F5B24" w:rsidRDefault="009C30AE" w:rsidP="00E27AE1">
            <w:pPr>
              <w:spacing w:line="276" w:lineRule="auto"/>
              <w:rPr>
                <w:rFonts w:ascii="Times New Roman" w:eastAsia="MS Mincho" w:hAnsi="Times New Roman" w:cs="Times New Roman"/>
              </w:rPr>
            </w:pPr>
          </w:p>
        </w:tc>
        <w:tc>
          <w:tcPr>
            <w:tcW w:w="1258" w:type="dxa"/>
          </w:tcPr>
          <w:p w14:paraId="65FFB0B5" w14:textId="77777777" w:rsidR="009C30AE" w:rsidRPr="001F5B24" w:rsidRDefault="009C30AE" w:rsidP="00E27AE1">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56 and older</w:t>
            </w:r>
          </w:p>
        </w:tc>
        <w:tc>
          <w:tcPr>
            <w:tcW w:w="2340" w:type="dxa"/>
          </w:tcPr>
          <w:p w14:paraId="1D2B0638" w14:textId="77777777"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30</w:t>
            </w:r>
          </w:p>
        </w:tc>
        <w:tc>
          <w:tcPr>
            <w:tcW w:w="2520" w:type="dxa"/>
          </w:tcPr>
          <w:p w14:paraId="169A4C7E" w14:textId="131F962D" w:rsidR="009C30AE" w:rsidRPr="001F5B24" w:rsidRDefault="009C30AE" w:rsidP="00E27A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sidRPr="001F5B24">
              <w:rPr>
                <w:rFonts w:ascii="Times New Roman" w:eastAsia="MS Mincho" w:hAnsi="Times New Roman" w:cs="Times New Roman"/>
              </w:rPr>
              <w:t>5.3</w:t>
            </w:r>
            <w:r w:rsidR="00296050">
              <w:rPr>
                <w:rFonts w:ascii="Times New Roman" w:eastAsia="MS Mincho" w:hAnsi="Times New Roman" w:cs="Times New Roman"/>
              </w:rPr>
              <w:t>7</w:t>
            </w:r>
          </w:p>
        </w:tc>
      </w:tr>
    </w:tbl>
    <w:p w14:paraId="02AA3908" w14:textId="6D550498" w:rsidR="009C30AE" w:rsidRPr="001F5B24" w:rsidRDefault="009C30AE" w:rsidP="009C30AE">
      <w:pPr>
        <w:jc w:val="both"/>
        <w:rPr>
          <w:rFonts w:ascii="Times New Roman" w:eastAsia="MS Mincho" w:hAnsi="Times New Roman" w:cs="Times New Roman"/>
          <w:b/>
          <w:bCs/>
          <w:color w:val="4472C4" w:themeColor="accent1"/>
          <w:sz w:val="24"/>
          <w:szCs w:val="24"/>
        </w:rPr>
      </w:pPr>
      <w:r w:rsidRPr="001F5B24">
        <w:rPr>
          <w:rFonts w:ascii="Times New Roman" w:eastAsia="MS Mincho" w:hAnsi="Times New Roman" w:cs="Times New Roman"/>
          <w:b/>
          <w:bCs/>
          <w:color w:val="4472C4" w:themeColor="accent1"/>
          <w:sz w:val="24"/>
          <w:szCs w:val="24"/>
        </w:rPr>
        <w:lastRenderedPageBreak/>
        <w:t>The number of assesse</w:t>
      </w:r>
      <w:r w:rsidR="00BC54FD">
        <w:rPr>
          <w:rFonts w:ascii="Times New Roman" w:eastAsia="MS Mincho" w:hAnsi="Times New Roman" w:cs="Times New Roman"/>
          <w:b/>
          <w:bCs/>
          <w:color w:val="4472C4" w:themeColor="accent1"/>
          <w:sz w:val="24"/>
          <w:szCs w:val="24"/>
        </w:rPr>
        <w:t>d</w:t>
      </w:r>
      <w:r w:rsidRPr="001F5B24">
        <w:rPr>
          <w:rFonts w:ascii="Times New Roman" w:eastAsia="MS Mincho" w:hAnsi="Times New Roman" w:cs="Times New Roman"/>
          <w:b/>
          <w:bCs/>
          <w:color w:val="4472C4" w:themeColor="accent1"/>
          <w:sz w:val="24"/>
          <w:szCs w:val="24"/>
        </w:rPr>
        <w:t xml:space="preserve"> individuals by risk level, booking charge levels</w:t>
      </w:r>
      <w:r w:rsidRPr="001F5B24">
        <w:rPr>
          <w:rStyle w:val="FootnoteReference"/>
          <w:rFonts w:ascii="Times New Roman" w:eastAsia="MS Mincho" w:hAnsi="Times New Roman" w:cs="Times New Roman"/>
          <w:b/>
          <w:bCs/>
          <w:color w:val="4472C4" w:themeColor="accent1"/>
          <w:sz w:val="24"/>
          <w:szCs w:val="24"/>
        </w:rPr>
        <w:footnoteReference w:id="8"/>
      </w:r>
      <w:r w:rsidRPr="001F5B24">
        <w:rPr>
          <w:rFonts w:ascii="Times New Roman" w:eastAsia="MS Mincho" w:hAnsi="Times New Roman" w:cs="Times New Roman"/>
          <w:b/>
          <w:bCs/>
          <w:color w:val="4472C4" w:themeColor="accent1"/>
          <w:sz w:val="24"/>
          <w:szCs w:val="24"/>
        </w:rPr>
        <w:t xml:space="preserve">And release type </w:t>
      </w:r>
    </w:p>
    <w:p w14:paraId="575A8ABF" w14:textId="39CE6724" w:rsidR="009C30AE" w:rsidRPr="001F5B24" w:rsidRDefault="002C5DF3" w:rsidP="009C30AE">
      <w:pPr>
        <w:jc w:val="both"/>
        <w:rPr>
          <w:rFonts w:ascii="Times New Roman" w:eastAsia="MS Mincho" w:hAnsi="Times New Roman" w:cs="Times New Roman"/>
          <w:sz w:val="24"/>
          <w:szCs w:val="24"/>
        </w:rPr>
      </w:pPr>
      <w:r w:rsidRPr="00AD60C0">
        <w:rPr>
          <w:rFonts w:ascii="Times New Roman" w:eastAsia="MS Mincho" w:hAnsi="Times New Roman" w:cs="Times New Roman"/>
          <w:sz w:val="24"/>
          <w:szCs w:val="24"/>
        </w:rPr>
        <w:t>The ORAS-PAT matrix defines the risk level as the following: someone who scores a two or below low-risk, an individual who scores between three or five points is a medium</w:t>
      </w:r>
      <w:r w:rsidR="00D124EE">
        <w:rPr>
          <w:rFonts w:ascii="Times New Roman" w:eastAsia="MS Mincho" w:hAnsi="Times New Roman" w:cs="Times New Roman"/>
          <w:sz w:val="24"/>
          <w:szCs w:val="24"/>
        </w:rPr>
        <w:t>-</w:t>
      </w:r>
      <w:r w:rsidRPr="00AD60C0">
        <w:rPr>
          <w:rFonts w:ascii="Times New Roman" w:eastAsia="MS Mincho" w:hAnsi="Times New Roman" w:cs="Times New Roman"/>
          <w:sz w:val="24"/>
          <w:szCs w:val="24"/>
        </w:rPr>
        <w:t>risk, and scores of six and above are considered a high-risk.</w:t>
      </w:r>
      <w:r>
        <w:rPr>
          <w:rFonts w:ascii="Times New Roman" w:eastAsia="MS Mincho" w:hAnsi="Times New Roman" w:cs="Times New Roman"/>
          <w:sz w:val="24"/>
          <w:szCs w:val="24"/>
        </w:rPr>
        <w:t xml:space="preserve"> </w:t>
      </w:r>
      <w:r w:rsidR="009C30AE" w:rsidRPr="001F5B24">
        <w:rPr>
          <w:rFonts w:ascii="Times New Roman" w:eastAsia="MS Mincho" w:hAnsi="Times New Roman" w:cs="Times New Roman"/>
          <w:sz w:val="24"/>
          <w:szCs w:val="24"/>
        </w:rPr>
        <w:t xml:space="preserve">The number of individuals assessed by risk level </w:t>
      </w:r>
      <w:r w:rsidR="005F7CC6">
        <w:rPr>
          <w:rFonts w:ascii="Times New Roman" w:eastAsia="MS Mincho" w:hAnsi="Times New Roman" w:cs="Times New Roman"/>
          <w:sz w:val="24"/>
          <w:szCs w:val="24"/>
        </w:rPr>
        <w:t>were</w:t>
      </w:r>
      <w:r w:rsidR="009C30AE" w:rsidRPr="001F5B24">
        <w:rPr>
          <w:rFonts w:ascii="Times New Roman" w:eastAsia="MS Mincho" w:hAnsi="Times New Roman" w:cs="Times New Roman"/>
          <w:sz w:val="24"/>
          <w:szCs w:val="24"/>
        </w:rPr>
        <w:t xml:space="preserve"> 558. Out of those 558, about 20% </w:t>
      </w:r>
      <w:r w:rsidR="005F7CC6">
        <w:rPr>
          <w:rFonts w:ascii="Times New Roman" w:eastAsia="MS Mincho" w:hAnsi="Times New Roman" w:cs="Times New Roman"/>
          <w:sz w:val="24"/>
          <w:szCs w:val="24"/>
        </w:rPr>
        <w:t>were</w:t>
      </w:r>
      <w:r w:rsidR="009C30AE" w:rsidRPr="001F5B24">
        <w:rPr>
          <w:rFonts w:ascii="Times New Roman" w:eastAsia="MS Mincho" w:hAnsi="Times New Roman" w:cs="Times New Roman"/>
          <w:sz w:val="24"/>
          <w:szCs w:val="24"/>
        </w:rPr>
        <w:t xml:space="preserve"> low-risk, 44% </w:t>
      </w:r>
      <w:r w:rsidR="005F7CC6">
        <w:rPr>
          <w:rFonts w:ascii="Times New Roman" w:eastAsia="MS Mincho" w:hAnsi="Times New Roman" w:cs="Times New Roman"/>
          <w:sz w:val="24"/>
          <w:szCs w:val="24"/>
        </w:rPr>
        <w:t>were</w:t>
      </w:r>
      <w:r w:rsidR="009C30AE" w:rsidRPr="001F5B24">
        <w:rPr>
          <w:rFonts w:ascii="Times New Roman" w:eastAsia="MS Mincho" w:hAnsi="Times New Roman" w:cs="Times New Roman"/>
          <w:sz w:val="24"/>
          <w:szCs w:val="24"/>
        </w:rPr>
        <w:t xml:space="preserve"> moderate, and 36% are </w:t>
      </w:r>
      <w:r w:rsidR="000B490A">
        <w:rPr>
          <w:rFonts w:ascii="Times New Roman" w:eastAsia="MS Mincho" w:hAnsi="Times New Roman" w:cs="Times New Roman"/>
          <w:sz w:val="24"/>
          <w:szCs w:val="24"/>
        </w:rPr>
        <w:t>high</w:t>
      </w:r>
      <w:r w:rsidR="009C30AE" w:rsidRPr="001F5B24">
        <w:rPr>
          <w:rFonts w:ascii="Times New Roman" w:eastAsia="MS Mincho" w:hAnsi="Times New Roman" w:cs="Times New Roman"/>
          <w:sz w:val="24"/>
          <w:szCs w:val="24"/>
        </w:rPr>
        <w:t xml:space="preserve">. </w:t>
      </w:r>
    </w:p>
    <w:p w14:paraId="4789ACFC" w14:textId="13D1170D" w:rsidR="009C30AE" w:rsidRPr="001F5B24" w:rsidRDefault="00E65A98" w:rsidP="009C30AE">
      <w:pPr>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Table</w:t>
      </w:r>
      <w:r w:rsidR="009C30AE" w:rsidRPr="001F5B24">
        <w:rPr>
          <w:rFonts w:ascii="Times New Roman" w:eastAsia="MS Mincho" w:hAnsi="Times New Roman" w:cs="Times New Roman"/>
          <w:b/>
          <w:bCs/>
          <w:sz w:val="24"/>
          <w:szCs w:val="24"/>
        </w:rPr>
        <w:t xml:space="preserve"> </w:t>
      </w:r>
      <w:r w:rsidR="00007F41">
        <w:rPr>
          <w:rFonts w:ascii="Times New Roman" w:eastAsia="MS Mincho" w:hAnsi="Times New Roman" w:cs="Times New Roman"/>
          <w:b/>
          <w:bCs/>
          <w:sz w:val="24"/>
          <w:szCs w:val="24"/>
        </w:rPr>
        <w:t>7</w:t>
      </w:r>
      <w:r w:rsidR="009C30AE" w:rsidRPr="001F5B24">
        <w:rPr>
          <w:rFonts w:ascii="Times New Roman" w:eastAsia="MS Mincho" w:hAnsi="Times New Roman" w:cs="Times New Roman"/>
          <w:b/>
          <w:bCs/>
          <w:sz w:val="24"/>
          <w:szCs w:val="24"/>
        </w:rPr>
        <w:t>: Individuals by risk level</w:t>
      </w:r>
    </w:p>
    <w:tbl>
      <w:tblPr>
        <w:tblStyle w:val="GridTable1Light"/>
        <w:tblW w:w="0" w:type="auto"/>
        <w:tblLook w:val="04A0" w:firstRow="1" w:lastRow="0" w:firstColumn="1" w:lastColumn="0" w:noHBand="0" w:noVBand="1"/>
      </w:tblPr>
      <w:tblGrid>
        <w:gridCol w:w="2337"/>
        <w:gridCol w:w="2337"/>
        <w:gridCol w:w="2337"/>
        <w:gridCol w:w="2337"/>
      </w:tblGrid>
      <w:tr w:rsidR="009C30AE" w:rsidRPr="001F5B24" w14:paraId="5AB978CF" w14:textId="77777777" w:rsidTr="00E27AE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7BE2A19" w14:textId="77777777" w:rsidR="009C30AE" w:rsidRPr="001F5B24" w:rsidRDefault="009C30AE"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Demographics </w:t>
            </w:r>
          </w:p>
        </w:tc>
        <w:tc>
          <w:tcPr>
            <w:tcW w:w="2337" w:type="dxa"/>
          </w:tcPr>
          <w:p w14:paraId="2561BFCD" w14:textId="77777777" w:rsidR="009C30AE" w:rsidRPr="001F5B24" w:rsidRDefault="009C30AE" w:rsidP="00E27AE1">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207D039" w14:textId="77777777" w:rsidR="009C30AE" w:rsidRPr="001F5B24" w:rsidRDefault="009C30AE"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N (558)</w:t>
            </w:r>
          </w:p>
        </w:tc>
        <w:tc>
          <w:tcPr>
            <w:tcW w:w="2337" w:type="dxa"/>
          </w:tcPr>
          <w:p w14:paraId="70CBEFBF" w14:textId="77777777" w:rsidR="009C30AE" w:rsidRPr="001F5B24" w:rsidRDefault="009C30AE"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w:t>
            </w:r>
          </w:p>
        </w:tc>
      </w:tr>
      <w:tr w:rsidR="009C30AE" w:rsidRPr="001F5B24" w14:paraId="4B3D4EC5" w14:textId="77777777" w:rsidTr="00E27AE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185C71F2" w14:textId="77777777" w:rsidR="009C30AE" w:rsidRPr="001F5B24" w:rsidRDefault="009C30AE"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Risk Level </w:t>
            </w:r>
          </w:p>
        </w:tc>
        <w:tc>
          <w:tcPr>
            <w:tcW w:w="2337" w:type="dxa"/>
          </w:tcPr>
          <w:p w14:paraId="2D8C151A"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72124528"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41F41102"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9C30AE" w:rsidRPr="001F5B24" w14:paraId="127E143C"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A03BBA1" w14:textId="50CCEB0A" w:rsidR="009C30AE" w:rsidRPr="001F5B24" w:rsidRDefault="00B964E5" w:rsidP="00E27AE1">
            <w:pPr>
              <w:pStyle w:val="Content"/>
              <w:rPr>
                <w:rFonts w:ascii="Times New Roman" w:hAnsi="Times New Roman" w:cs="Times New Roman"/>
                <w:color w:val="auto"/>
                <w:sz w:val="24"/>
                <w:szCs w:val="24"/>
              </w:rPr>
            </w:pPr>
            <w:r>
              <w:rPr>
                <w:rFonts w:ascii="Times New Roman" w:hAnsi="Times New Roman" w:cs="Times New Roman"/>
                <w:color w:val="auto"/>
                <w:sz w:val="24"/>
                <w:szCs w:val="24"/>
              </w:rPr>
              <w:t>0-2</w:t>
            </w:r>
          </w:p>
        </w:tc>
        <w:tc>
          <w:tcPr>
            <w:tcW w:w="2337" w:type="dxa"/>
          </w:tcPr>
          <w:p w14:paraId="4C41BDB8" w14:textId="5B9B876C" w:rsidR="009C30AE" w:rsidRPr="001F5B24" w:rsidRDefault="007D1711"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w:t>
            </w:r>
            <w:r w:rsidR="009C30AE" w:rsidRPr="001F5B24">
              <w:rPr>
                <w:rFonts w:ascii="Times New Roman" w:hAnsi="Times New Roman" w:cs="Times New Roman"/>
                <w:color w:val="auto"/>
                <w:sz w:val="24"/>
                <w:szCs w:val="24"/>
              </w:rPr>
              <w:t>ow</w:t>
            </w:r>
          </w:p>
        </w:tc>
        <w:tc>
          <w:tcPr>
            <w:tcW w:w="2337" w:type="dxa"/>
          </w:tcPr>
          <w:p w14:paraId="11181875"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114</w:t>
            </w:r>
          </w:p>
        </w:tc>
        <w:tc>
          <w:tcPr>
            <w:tcW w:w="2337" w:type="dxa"/>
          </w:tcPr>
          <w:p w14:paraId="646F0776"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20.43</w:t>
            </w:r>
          </w:p>
        </w:tc>
      </w:tr>
      <w:tr w:rsidR="009C30AE" w:rsidRPr="001F5B24" w14:paraId="675EF3EB"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9DAF786" w14:textId="02F7FB21" w:rsidR="009C30AE" w:rsidRPr="001F5B24" w:rsidRDefault="00B964E5" w:rsidP="00E27AE1">
            <w:pPr>
              <w:pStyle w:val="Content"/>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2337" w:type="dxa"/>
          </w:tcPr>
          <w:p w14:paraId="30568C39"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Moderate </w:t>
            </w:r>
          </w:p>
        </w:tc>
        <w:tc>
          <w:tcPr>
            <w:tcW w:w="2337" w:type="dxa"/>
          </w:tcPr>
          <w:p w14:paraId="034E378F"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248</w:t>
            </w:r>
          </w:p>
        </w:tc>
        <w:tc>
          <w:tcPr>
            <w:tcW w:w="2337" w:type="dxa"/>
          </w:tcPr>
          <w:p w14:paraId="6AB61C0C"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44.44</w:t>
            </w:r>
          </w:p>
        </w:tc>
      </w:tr>
      <w:tr w:rsidR="009C30AE" w:rsidRPr="001F5B24" w14:paraId="3ACFE466"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0C05D01" w14:textId="3C67B226" w:rsidR="009C30AE" w:rsidRPr="001F5B24" w:rsidRDefault="00B964E5" w:rsidP="00E27AE1">
            <w:pPr>
              <w:pStyle w:val="Content"/>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2337" w:type="dxa"/>
          </w:tcPr>
          <w:p w14:paraId="2EBCD903"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2337" w:type="dxa"/>
          </w:tcPr>
          <w:p w14:paraId="1DDE2647"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196</w:t>
            </w:r>
          </w:p>
        </w:tc>
        <w:tc>
          <w:tcPr>
            <w:tcW w:w="2337" w:type="dxa"/>
          </w:tcPr>
          <w:p w14:paraId="6E6F31A1"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36.13</w:t>
            </w:r>
          </w:p>
        </w:tc>
      </w:tr>
    </w:tbl>
    <w:p w14:paraId="3E7194C9" w14:textId="77777777" w:rsidR="00DD4941" w:rsidRDefault="00DD4941" w:rsidP="00DD4941">
      <w:pPr>
        <w:spacing w:after="0"/>
        <w:jc w:val="both"/>
        <w:rPr>
          <w:rFonts w:ascii="Times New Roman" w:hAnsi="Times New Roman" w:cs="Times New Roman"/>
          <w:b/>
          <w:bCs/>
          <w:sz w:val="24"/>
          <w:szCs w:val="24"/>
        </w:rPr>
      </w:pPr>
    </w:p>
    <w:p w14:paraId="7821B8CD" w14:textId="50F3A22E" w:rsidR="009C30AE" w:rsidRPr="00DD4941" w:rsidRDefault="00E42FAB" w:rsidP="00DD4941">
      <w:pPr>
        <w:spacing w:after="0"/>
        <w:jc w:val="both"/>
        <w:rPr>
          <w:rFonts w:ascii="Times New Roman" w:eastAsia="MS Mincho" w:hAnsi="Times New Roman" w:cs="Times New Roman"/>
          <w:b/>
          <w:bCs/>
          <w:sz w:val="24"/>
          <w:szCs w:val="24"/>
        </w:rPr>
      </w:pPr>
      <w:r>
        <w:rPr>
          <w:rFonts w:ascii="Times New Roman" w:hAnsi="Times New Roman" w:cs="Times New Roman"/>
          <w:b/>
          <w:bCs/>
          <w:sz w:val="24"/>
          <w:szCs w:val="24"/>
        </w:rPr>
        <w:t>Figure</w:t>
      </w:r>
      <w:r w:rsidR="009741C4">
        <w:rPr>
          <w:rFonts w:ascii="Times New Roman" w:hAnsi="Times New Roman" w:cs="Times New Roman"/>
          <w:b/>
          <w:bCs/>
          <w:sz w:val="24"/>
          <w:szCs w:val="24"/>
        </w:rPr>
        <w:t xml:space="preserve"> </w:t>
      </w:r>
      <w:r w:rsidR="00F750F5">
        <w:rPr>
          <w:rFonts w:ascii="Times New Roman" w:hAnsi="Times New Roman" w:cs="Times New Roman"/>
          <w:b/>
          <w:bCs/>
          <w:sz w:val="24"/>
          <w:szCs w:val="24"/>
        </w:rPr>
        <w:t>4</w:t>
      </w:r>
      <w:r w:rsidR="009C30AE" w:rsidRPr="001F5B24">
        <w:rPr>
          <w:rFonts w:ascii="Times New Roman" w:eastAsia="MS Mincho" w:hAnsi="Times New Roman" w:cs="Times New Roman"/>
          <w:b/>
          <w:bCs/>
          <w:sz w:val="24"/>
          <w:szCs w:val="24"/>
        </w:rPr>
        <w:t xml:space="preserve">: Release type </w:t>
      </w:r>
      <w:r w:rsidR="009741C4">
        <w:rPr>
          <w:rFonts w:ascii="Times New Roman" w:eastAsia="MS Mincho" w:hAnsi="Times New Roman" w:cs="Times New Roman"/>
          <w:b/>
          <w:bCs/>
          <w:sz w:val="24"/>
          <w:szCs w:val="24"/>
        </w:rPr>
        <w:t>(n=</w:t>
      </w:r>
      <w:r w:rsidR="008E75A6">
        <w:rPr>
          <w:rFonts w:ascii="Times New Roman" w:eastAsia="MS Mincho" w:hAnsi="Times New Roman" w:cs="Times New Roman"/>
          <w:b/>
          <w:bCs/>
          <w:sz w:val="24"/>
          <w:szCs w:val="24"/>
        </w:rPr>
        <w:t xml:space="preserve">528) </w:t>
      </w:r>
    </w:p>
    <w:p w14:paraId="40BB91A6" w14:textId="119863A8" w:rsidR="009C30AE" w:rsidRPr="001F5B24" w:rsidRDefault="00DD4941" w:rsidP="009C30AE">
      <w:pPr>
        <w:jc w:val="both"/>
        <w:rPr>
          <w:rFonts w:ascii="Times New Roman" w:eastAsia="MS Mincho" w:hAnsi="Times New Roman" w:cs="Times New Roman"/>
          <w:sz w:val="24"/>
          <w:szCs w:val="24"/>
        </w:rPr>
      </w:pPr>
      <w:r w:rsidRPr="001F5B24">
        <w:rPr>
          <w:rFonts w:ascii="Times New Roman" w:hAnsi="Times New Roman" w:cs="Times New Roman"/>
          <w:noProof/>
          <w:sz w:val="24"/>
          <w:szCs w:val="24"/>
        </w:rPr>
        <w:drawing>
          <wp:anchor distT="0" distB="0" distL="114300" distR="114300" simplePos="0" relativeHeight="251668480" behindDoc="1" locked="0" layoutInCell="1" allowOverlap="1" wp14:anchorId="003F13FD" wp14:editId="78D5BC70">
            <wp:simplePos x="0" y="0"/>
            <wp:positionH relativeFrom="margin">
              <wp:align>left</wp:align>
            </wp:positionH>
            <wp:positionV relativeFrom="paragraph">
              <wp:posOffset>6670</wp:posOffset>
            </wp:positionV>
            <wp:extent cx="3267075" cy="2133600"/>
            <wp:effectExtent l="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42FAB">
        <w:rPr>
          <w:rFonts w:ascii="Times New Roman" w:eastAsia="MS Mincho" w:hAnsi="Times New Roman" w:cs="Times New Roman"/>
          <w:sz w:val="24"/>
          <w:szCs w:val="24"/>
        </w:rPr>
        <w:t>Figure</w:t>
      </w:r>
      <w:r w:rsidR="006A3A02" w:rsidRPr="006A3A02">
        <w:rPr>
          <w:rFonts w:ascii="Times New Roman" w:eastAsia="MS Mincho" w:hAnsi="Times New Roman" w:cs="Times New Roman"/>
          <w:sz w:val="24"/>
          <w:szCs w:val="24"/>
        </w:rPr>
        <w:t xml:space="preserve"> 4 demonstrates 198 released under pretrial supervision, 85 released under ORR, and 245 denied pretrial supervision. The difference between all assessed 558 and 528 in release type is due to those released on bail or deemed ineligible. Most individuals </w:t>
      </w:r>
      <w:r w:rsidR="00BB6D7F">
        <w:rPr>
          <w:rFonts w:ascii="Times New Roman" w:eastAsia="MS Mincho" w:hAnsi="Times New Roman" w:cs="Times New Roman"/>
          <w:sz w:val="24"/>
          <w:szCs w:val="24"/>
        </w:rPr>
        <w:t>were</w:t>
      </w:r>
      <w:r w:rsidR="006A3A02" w:rsidRPr="006A3A02">
        <w:rPr>
          <w:rFonts w:ascii="Times New Roman" w:eastAsia="MS Mincho" w:hAnsi="Times New Roman" w:cs="Times New Roman"/>
          <w:sz w:val="24"/>
          <w:szCs w:val="24"/>
        </w:rPr>
        <w:t xml:space="preserve"> released by pretrial supervision </w:t>
      </w:r>
      <w:r w:rsidR="00BB6D7F">
        <w:rPr>
          <w:rFonts w:ascii="Times New Roman" w:eastAsia="MS Mincho" w:hAnsi="Times New Roman" w:cs="Times New Roman"/>
          <w:sz w:val="24"/>
          <w:szCs w:val="24"/>
        </w:rPr>
        <w:t xml:space="preserve">rather </w:t>
      </w:r>
      <w:r w:rsidR="006A3A02" w:rsidRPr="006A3A02">
        <w:rPr>
          <w:rFonts w:ascii="Times New Roman" w:eastAsia="MS Mincho" w:hAnsi="Times New Roman" w:cs="Times New Roman"/>
          <w:sz w:val="24"/>
          <w:szCs w:val="24"/>
        </w:rPr>
        <w:t xml:space="preserve">than ORR.   </w:t>
      </w:r>
    </w:p>
    <w:p w14:paraId="76CF6CD6" w14:textId="4B12C63A" w:rsidR="009C30AE" w:rsidRDefault="009C30AE" w:rsidP="009C30AE">
      <w:pPr>
        <w:jc w:val="both"/>
        <w:rPr>
          <w:rFonts w:ascii="Times New Roman" w:eastAsia="MS Mincho" w:hAnsi="Times New Roman" w:cs="Times New Roman"/>
          <w:b/>
          <w:bCs/>
          <w:color w:val="4472C4" w:themeColor="accent1"/>
          <w:sz w:val="24"/>
          <w:szCs w:val="24"/>
        </w:rPr>
      </w:pPr>
    </w:p>
    <w:p w14:paraId="2A4B850D" w14:textId="2E3BFF5E" w:rsidR="00B12825" w:rsidRDefault="00B12825" w:rsidP="009C30AE">
      <w:pPr>
        <w:jc w:val="both"/>
        <w:rPr>
          <w:rFonts w:ascii="Times New Roman" w:eastAsia="MS Mincho" w:hAnsi="Times New Roman" w:cs="Times New Roman"/>
          <w:b/>
          <w:bCs/>
          <w:color w:val="4472C4" w:themeColor="accent1"/>
          <w:sz w:val="24"/>
          <w:szCs w:val="24"/>
        </w:rPr>
      </w:pPr>
    </w:p>
    <w:p w14:paraId="4EC0831A" w14:textId="77777777" w:rsidR="00B12825" w:rsidRPr="001F5B24" w:rsidRDefault="00B12825" w:rsidP="009C30AE">
      <w:pPr>
        <w:jc w:val="both"/>
        <w:rPr>
          <w:rFonts w:ascii="Times New Roman" w:eastAsia="MS Mincho" w:hAnsi="Times New Roman" w:cs="Times New Roman"/>
          <w:b/>
          <w:bCs/>
          <w:color w:val="4472C4" w:themeColor="accent1"/>
          <w:sz w:val="24"/>
          <w:szCs w:val="24"/>
        </w:rPr>
      </w:pPr>
    </w:p>
    <w:p w14:paraId="285549C4" w14:textId="20E1E339" w:rsidR="009C30AE" w:rsidRPr="00B622AA" w:rsidRDefault="00B622AA" w:rsidP="009C30AE">
      <w:pPr>
        <w:jc w:val="both"/>
        <w:rPr>
          <w:rFonts w:ascii="Times New Roman" w:eastAsia="MS Mincho" w:hAnsi="Times New Roman" w:cs="Times New Roman"/>
          <w:b/>
          <w:bCs/>
          <w:sz w:val="24"/>
          <w:szCs w:val="24"/>
        </w:rPr>
      </w:pPr>
      <w:r w:rsidRPr="00B622AA">
        <w:rPr>
          <w:rFonts w:ascii="Times New Roman" w:hAnsi="Times New Roman" w:cs="Times New Roman"/>
          <w:b/>
          <w:bCs/>
          <w:i/>
          <w:iCs/>
          <w:noProof/>
          <w:sz w:val="24"/>
          <w:szCs w:val="24"/>
        </w:rPr>
        <w:lastRenderedPageBreak/>
        <w:drawing>
          <wp:anchor distT="0" distB="0" distL="114300" distR="114300" simplePos="0" relativeHeight="251672576" behindDoc="1" locked="0" layoutInCell="1" allowOverlap="1" wp14:anchorId="00B23F1C" wp14:editId="7055BBC5">
            <wp:simplePos x="0" y="0"/>
            <wp:positionH relativeFrom="margin">
              <wp:posOffset>0</wp:posOffset>
            </wp:positionH>
            <wp:positionV relativeFrom="paragraph">
              <wp:posOffset>294640</wp:posOffset>
            </wp:positionV>
            <wp:extent cx="3441065" cy="2282825"/>
            <wp:effectExtent l="0" t="0" r="6985" b="3175"/>
            <wp:wrapTight wrapText="bothSides">
              <wp:wrapPolygon edited="0">
                <wp:start x="0" y="0"/>
                <wp:lineTo x="0" y="21450"/>
                <wp:lineTo x="21524" y="21450"/>
                <wp:lineTo x="21524"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E42FAB">
        <w:rPr>
          <w:rFonts w:ascii="Times New Roman" w:eastAsia="MS Mincho" w:hAnsi="Times New Roman" w:cs="Times New Roman"/>
          <w:b/>
          <w:bCs/>
          <w:sz w:val="24"/>
          <w:szCs w:val="24"/>
        </w:rPr>
        <w:t>Figure</w:t>
      </w:r>
      <w:r w:rsidRPr="00B622AA">
        <w:rPr>
          <w:rFonts w:ascii="Times New Roman" w:eastAsia="MS Mincho" w:hAnsi="Times New Roman" w:cs="Times New Roman"/>
          <w:b/>
          <w:bCs/>
          <w:sz w:val="24"/>
          <w:szCs w:val="24"/>
        </w:rPr>
        <w:t xml:space="preserve"> </w:t>
      </w:r>
      <w:r w:rsidR="00007F41">
        <w:rPr>
          <w:rFonts w:ascii="Times New Roman" w:eastAsia="MS Mincho" w:hAnsi="Times New Roman" w:cs="Times New Roman"/>
          <w:b/>
          <w:bCs/>
          <w:sz w:val="24"/>
          <w:szCs w:val="24"/>
        </w:rPr>
        <w:t>5</w:t>
      </w:r>
      <w:r w:rsidRPr="00B622AA">
        <w:rPr>
          <w:rFonts w:ascii="Times New Roman" w:eastAsia="MS Mincho" w:hAnsi="Times New Roman" w:cs="Times New Roman"/>
          <w:b/>
          <w:bCs/>
          <w:sz w:val="24"/>
          <w:szCs w:val="24"/>
        </w:rPr>
        <w:t xml:space="preserve">: Release type by risk level (n=528) </w:t>
      </w:r>
    </w:p>
    <w:p w14:paraId="22805066" w14:textId="564010C0" w:rsidR="00B622AA" w:rsidRDefault="00E42FAB" w:rsidP="009C30AE">
      <w:pPr>
        <w:jc w:val="both"/>
        <w:rPr>
          <w:rFonts w:ascii="Times New Roman" w:eastAsia="MS Mincho" w:hAnsi="Times New Roman" w:cs="Times New Roman"/>
          <w:b/>
          <w:bCs/>
          <w:color w:val="4472C4" w:themeColor="accent1"/>
          <w:sz w:val="24"/>
          <w:szCs w:val="24"/>
        </w:rPr>
      </w:pPr>
      <w:r>
        <w:rPr>
          <w:rFonts w:ascii="Times New Roman" w:eastAsia="MS Mincho" w:hAnsi="Times New Roman" w:cs="Times New Roman"/>
          <w:sz w:val="24"/>
          <w:szCs w:val="24"/>
        </w:rPr>
        <w:t>Figure</w:t>
      </w:r>
      <w:r w:rsidR="005325FA" w:rsidRPr="005325FA">
        <w:rPr>
          <w:rFonts w:ascii="Times New Roman" w:eastAsia="MS Mincho" w:hAnsi="Times New Roman" w:cs="Times New Roman"/>
          <w:sz w:val="24"/>
          <w:szCs w:val="24"/>
        </w:rPr>
        <w:t xml:space="preserve"> 5 illustrates that 28% of</w:t>
      </w:r>
      <w:r w:rsidR="004565BB">
        <w:rPr>
          <w:rFonts w:ascii="Times New Roman" w:eastAsia="MS Mincho" w:hAnsi="Times New Roman" w:cs="Times New Roman"/>
          <w:sz w:val="24"/>
          <w:szCs w:val="24"/>
        </w:rPr>
        <w:t xml:space="preserve"> those </w:t>
      </w:r>
      <w:r w:rsidR="008B0CB5">
        <w:rPr>
          <w:rFonts w:ascii="Times New Roman" w:eastAsia="MS Mincho" w:hAnsi="Times New Roman" w:cs="Times New Roman"/>
          <w:sz w:val="24"/>
          <w:szCs w:val="24"/>
        </w:rPr>
        <w:t>assessed</w:t>
      </w:r>
      <w:r w:rsidR="005325FA" w:rsidRPr="005325FA">
        <w:rPr>
          <w:rFonts w:ascii="Times New Roman" w:eastAsia="MS Mincho" w:hAnsi="Times New Roman" w:cs="Times New Roman"/>
          <w:sz w:val="24"/>
          <w:szCs w:val="24"/>
        </w:rPr>
        <w:t xml:space="preserve"> low-risk,</w:t>
      </w:r>
      <w:r w:rsidR="00123FB6">
        <w:rPr>
          <w:rFonts w:ascii="Times New Roman" w:eastAsia="MS Mincho" w:hAnsi="Times New Roman" w:cs="Times New Roman"/>
          <w:sz w:val="24"/>
          <w:szCs w:val="24"/>
        </w:rPr>
        <w:t xml:space="preserve"> </w:t>
      </w:r>
      <w:r w:rsidR="00E060C3">
        <w:rPr>
          <w:rFonts w:ascii="Times New Roman" w:eastAsia="MS Mincho" w:hAnsi="Times New Roman" w:cs="Times New Roman"/>
          <w:sz w:val="24"/>
          <w:szCs w:val="24"/>
        </w:rPr>
        <w:t xml:space="preserve">were </w:t>
      </w:r>
      <w:r w:rsidR="005325FA" w:rsidRPr="005325FA">
        <w:rPr>
          <w:rFonts w:ascii="Times New Roman" w:eastAsia="MS Mincho" w:hAnsi="Times New Roman" w:cs="Times New Roman"/>
          <w:sz w:val="24"/>
          <w:szCs w:val="24"/>
        </w:rPr>
        <w:t>released on pretrial supervision. In comparison, 57% who scored moderate</w:t>
      </w:r>
      <w:r w:rsidR="004C2B19">
        <w:rPr>
          <w:rFonts w:ascii="Times New Roman" w:eastAsia="MS Mincho" w:hAnsi="Times New Roman" w:cs="Times New Roman"/>
          <w:sz w:val="24"/>
          <w:szCs w:val="24"/>
        </w:rPr>
        <w:t>-</w:t>
      </w:r>
      <w:r w:rsidR="005325FA" w:rsidRPr="005325FA">
        <w:rPr>
          <w:rFonts w:ascii="Times New Roman" w:eastAsia="MS Mincho" w:hAnsi="Times New Roman" w:cs="Times New Roman"/>
          <w:sz w:val="24"/>
          <w:szCs w:val="24"/>
        </w:rPr>
        <w:t xml:space="preserve">risk </w:t>
      </w:r>
      <w:r w:rsidR="00177B99">
        <w:rPr>
          <w:rFonts w:ascii="Times New Roman" w:eastAsia="MS Mincho" w:hAnsi="Times New Roman" w:cs="Times New Roman"/>
          <w:sz w:val="24"/>
          <w:szCs w:val="24"/>
        </w:rPr>
        <w:t>were</w:t>
      </w:r>
      <w:r w:rsidR="005325FA" w:rsidRPr="005325FA">
        <w:rPr>
          <w:rFonts w:ascii="Times New Roman" w:eastAsia="MS Mincho" w:hAnsi="Times New Roman" w:cs="Times New Roman"/>
          <w:sz w:val="24"/>
          <w:szCs w:val="24"/>
        </w:rPr>
        <w:t xml:space="preserve"> released on pretrial supervision. </w:t>
      </w:r>
      <w:r w:rsidR="00BE02D4">
        <w:rPr>
          <w:rFonts w:ascii="Times New Roman" w:eastAsia="MS Mincho" w:hAnsi="Times New Roman" w:cs="Times New Roman"/>
          <w:sz w:val="24"/>
          <w:szCs w:val="24"/>
        </w:rPr>
        <w:t xml:space="preserve">While </w:t>
      </w:r>
      <w:r w:rsidR="005325FA" w:rsidRPr="005325FA">
        <w:rPr>
          <w:rFonts w:ascii="Times New Roman" w:eastAsia="MS Mincho" w:hAnsi="Times New Roman" w:cs="Times New Roman"/>
          <w:sz w:val="24"/>
          <w:szCs w:val="24"/>
        </w:rPr>
        <w:t>only 19% of individuals who scored high-risk receive</w:t>
      </w:r>
      <w:r w:rsidR="00B0533F">
        <w:rPr>
          <w:rFonts w:ascii="Times New Roman" w:eastAsia="MS Mincho" w:hAnsi="Times New Roman" w:cs="Times New Roman"/>
          <w:sz w:val="24"/>
          <w:szCs w:val="24"/>
        </w:rPr>
        <w:t>d</w:t>
      </w:r>
      <w:r w:rsidR="005325FA" w:rsidRPr="005325FA">
        <w:rPr>
          <w:rFonts w:ascii="Times New Roman" w:eastAsia="MS Mincho" w:hAnsi="Times New Roman" w:cs="Times New Roman"/>
          <w:sz w:val="24"/>
          <w:szCs w:val="24"/>
        </w:rPr>
        <w:t xml:space="preserve"> pretrial supervision.</w:t>
      </w:r>
    </w:p>
    <w:p w14:paraId="1DF5A0E9" w14:textId="77777777" w:rsidR="00B622AA" w:rsidRDefault="00B622AA" w:rsidP="009C30AE">
      <w:pPr>
        <w:jc w:val="both"/>
        <w:rPr>
          <w:rFonts w:ascii="Times New Roman" w:eastAsia="MS Mincho" w:hAnsi="Times New Roman" w:cs="Times New Roman"/>
          <w:b/>
          <w:bCs/>
          <w:color w:val="4472C4" w:themeColor="accent1"/>
          <w:sz w:val="24"/>
          <w:szCs w:val="24"/>
        </w:rPr>
      </w:pPr>
    </w:p>
    <w:p w14:paraId="1D47FCF1" w14:textId="719EBA59" w:rsidR="00B622AA" w:rsidRDefault="00B622AA" w:rsidP="009C30AE">
      <w:pPr>
        <w:jc w:val="both"/>
        <w:rPr>
          <w:rFonts w:ascii="Times New Roman" w:eastAsia="MS Mincho" w:hAnsi="Times New Roman" w:cs="Times New Roman"/>
          <w:b/>
          <w:bCs/>
          <w:color w:val="4472C4" w:themeColor="accent1"/>
          <w:sz w:val="24"/>
          <w:szCs w:val="24"/>
        </w:rPr>
      </w:pPr>
    </w:p>
    <w:p w14:paraId="715FDB6B" w14:textId="77777777" w:rsidR="001803BF" w:rsidRDefault="001803BF" w:rsidP="009C30AE">
      <w:pPr>
        <w:jc w:val="both"/>
        <w:rPr>
          <w:rFonts w:ascii="Times New Roman" w:eastAsia="MS Mincho" w:hAnsi="Times New Roman" w:cs="Times New Roman"/>
          <w:b/>
          <w:bCs/>
          <w:color w:val="4472C4" w:themeColor="accent1"/>
          <w:sz w:val="24"/>
          <w:szCs w:val="24"/>
        </w:rPr>
      </w:pPr>
    </w:p>
    <w:p w14:paraId="4D4DBFF8" w14:textId="77777777" w:rsidR="00472635" w:rsidRDefault="00472635" w:rsidP="009C30AE">
      <w:pPr>
        <w:jc w:val="both"/>
        <w:rPr>
          <w:rFonts w:ascii="Times New Roman" w:eastAsia="MS Mincho" w:hAnsi="Times New Roman" w:cs="Times New Roman"/>
          <w:b/>
          <w:bCs/>
          <w:color w:val="4472C4" w:themeColor="accent1"/>
          <w:sz w:val="24"/>
          <w:szCs w:val="24"/>
        </w:rPr>
      </w:pPr>
    </w:p>
    <w:p w14:paraId="6AFBB679" w14:textId="2C1784A2" w:rsidR="009C30AE" w:rsidRPr="001F5B24" w:rsidRDefault="009C30AE" w:rsidP="009C30AE">
      <w:pPr>
        <w:jc w:val="both"/>
        <w:rPr>
          <w:rFonts w:ascii="Times New Roman" w:eastAsia="MS Mincho" w:hAnsi="Times New Roman" w:cs="Times New Roman"/>
          <w:b/>
          <w:bCs/>
          <w:color w:val="4472C4" w:themeColor="accent1"/>
          <w:sz w:val="24"/>
          <w:szCs w:val="24"/>
        </w:rPr>
      </w:pPr>
      <w:r w:rsidRPr="001F5B24">
        <w:rPr>
          <w:rFonts w:ascii="Times New Roman" w:eastAsia="MS Mincho" w:hAnsi="Times New Roman" w:cs="Times New Roman"/>
          <w:b/>
          <w:bCs/>
          <w:color w:val="4472C4" w:themeColor="accent1"/>
          <w:sz w:val="24"/>
          <w:szCs w:val="24"/>
        </w:rPr>
        <w:t>The number and percentage of assessed individuals who receive pretrial supervision by the level of supervision</w:t>
      </w:r>
    </w:p>
    <w:p w14:paraId="0A696611" w14:textId="124E1043" w:rsidR="00101A06" w:rsidRDefault="00E65A98" w:rsidP="00101A06">
      <w:pPr>
        <w:jc w:val="both"/>
        <w:rPr>
          <w:rFonts w:ascii="Times New Roman" w:eastAsia="MS Mincho" w:hAnsi="Times New Roman" w:cs="Times New Roman"/>
          <w:sz w:val="24"/>
          <w:szCs w:val="24"/>
        </w:rPr>
      </w:pPr>
      <w:r>
        <w:rPr>
          <w:rFonts w:ascii="Times New Roman" w:eastAsia="MS Mincho" w:hAnsi="Times New Roman" w:cs="Times New Roman"/>
          <w:sz w:val="24"/>
          <w:szCs w:val="24"/>
        </w:rPr>
        <w:t>Table</w:t>
      </w:r>
      <w:r w:rsidR="00101A06" w:rsidRPr="00617027">
        <w:rPr>
          <w:rFonts w:ascii="Times New Roman" w:eastAsia="MS Mincho" w:hAnsi="Times New Roman" w:cs="Times New Roman"/>
          <w:sz w:val="24"/>
          <w:szCs w:val="24"/>
        </w:rPr>
        <w:t xml:space="preserve"> </w:t>
      </w:r>
      <w:r w:rsidR="00DF2FDD">
        <w:rPr>
          <w:rFonts w:ascii="Times New Roman" w:eastAsia="MS Mincho" w:hAnsi="Times New Roman" w:cs="Times New Roman"/>
          <w:sz w:val="24"/>
          <w:szCs w:val="24"/>
        </w:rPr>
        <w:t>8</w:t>
      </w:r>
      <w:r w:rsidR="00101A06" w:rsidRPr="00617027">
        <w:rPr>
          <w:rFonts w:ascii="Times New Roman" w:eastAsia="MS Mincho" w:hAnsi="Times New Roman" w:cs="Times New Roman"/>
          <w:sz w:val="24"/>
          <w:szCs w:val="24"/>
        </w:rPr>
        <w:t xml:space="preserve"> describes those individuals who received pretrial supervision </w:t>
      </w:r>
      <w:r w:rsidR="00C302C2">
        <w:rPr>
          <w:rFonts w:ascii="Times New Roman" w:eastAsia="MS Mincho" w:hAnsi="Times New Roman" w:cs="Times New Roman"/>
          <w:sz w:val="24"/>
          <w:szCs w:val="24"/>
        </w:rPr>
        <w:t>by their</w:t>
      </w:r>
      <w:r w:rsidR="00101A06" w:rsidRPr="00617027">
        <w:rPr>
          <w:rFonts w:ascii="Times New Roman" w:eastAsia="MS Mincho" w:hAnsi="Times New Roman" w:cs="Times New Roman"/>
          <w:sz w:val="24"/>
          <w:szCs w:val="24"/>
        </w:rPr>
        <w:t xml:space="preserve"> risk level. </w:t>
      </w:r>
      <w:r w:rsidR="00C161CE">
        <w:rPr>
          <w:rFonts w:ascii="Times New Roman" w:eastAsia="MS Mincho" w:hAnsi="Times New Roman" w:cs="Times New Roman"/>
          <w:sz w:val="24"/>
          <w:szCs w:val="24"/>
        </w:rPr>
        <w:t xml:space="preserve"> Approximately </w:t>
      </w:r>
      <w:r w:rsidR="00C302C2">
        <w:rPr>
          <w:rFonts w:ascii="Times New Roman" w:eastAsia="MS Mincho" w:hAnsi="Times New Roman" w:cs="Times New Roman"/>
          <w:sz w:val="24"/>
          <w:szCs w:val="24"/>
        </w:rPr>
        <w:t xml:space="preserve">69% </w:t>
      </w:r>
      <w:r w:rsidR="00252F9E">
        <w:rPr>
          <w:rFonts w:ascii="Times New Roman" w:eastAsia="MS Mincho" w:hAnsi="Times New Roman" w:cs="Times New Roman"/>
          <w:sz w:val="24"/>
          <w:szCs w:val="24"/>
        </w:rPr>
        <w:t>were</w:t>
      </w:r>
      <w:r w:rsidR="00101A06" w:rsidRPr="00617027">
        <w:rPr>
          <w:rFonts w:ascii="Times New Roman" w:eastAsia="MS Mincho" w:hAnsi="Times New Roman" w:cs="Times New Roman"/>
          <w:sz w:val="24"/>
          <w:szCs w:val="24"/>
        </w:rPr>
        <w:t xml:space="preserve"> moderate</w:t>
      </w:r>
      <w:r w:rsidR="00C161CE">
        <w:rPr>
          <w:rFonts w:ascii="Times New Roman" w:eastAsia="MS Mincho" w:hAnsi="Times New Roman" w:cs="Times New Roman"/>
          <w:sz w:val="24"/>
          <w:szCs w:val="24"/>
        </w:rPr>
        <w:t>, a</w:t>
      </w:r>
      <w:r w:rsidR="00252F9E">
        <w:rPr>
          <w:rFonts w:ascii="Times New Roman" w:eastAsia="MS Mincho" w:hAnsi="Times New Roman" w:cs="Times New Roman"/>
          <w:sz w:val="24"/>
          <w:szCs w:val="24"/>
        </w:rPr>
        <w:t>pproximately</w:t>
      </w:r>
      <w:r w:rsidR="00C161CE">
        <w:rPr>
          <w:rFonts w:ascii="Times New Roman" w:eastAsia="MS Mincho" w:hAnsi="Times New Roman" w:cs="Times New Roman"/>
          <w:sz w:val="24"/>
          <w:szCs w:val="24"/>
        </w:rPr>
        <w:t xml:space="preserve"> 20% </w:t>
      </w:r>
      <w:r w:rsidR="00252F9E">
        <w:rPr>
          <w:rFonts w:ascii="Times New Roman" w:eastAsia="MS Mincho" w:hAnsi="Times New Roman" w:cs="Times New Roman"/>
          <w:sz w:val="24"/>
          <w:szCs w:val="24"/>
        </w:rPr>
        <w:t>were</w:t>
      </w:r>
      <w:r w:rsidR="00C161CE">
        <w:rPr>
          <w:rFonts w:ascii="Times New Roman" w:eastAsia="MS Mincho" w:hAnsi="Times New Roman" w:cs="Times New Roman"/>
          <w:sz w:val="24"/>
          <w:szCs w:val="24"/>
        </w:rPr>
        <w:t xml:space="preserve"> high-risk, and 15% </w:t>
      </w:r>
      <w:r w:rsidR="00252F9E">
        <w:rPr>
          <w:rFonts w:ascii="Times New Roman" w:eastAsia="MS Mincho" w:hAnsi="Times New Roman" w:cs="Times New Roman"/>
          <w:sz w:val="24"/>
          <w:szCs w:val="24"/>
        </w:rPr>
        <w:t>were</w:t>
      </w:r>
      <w:r w:rsidR="00C161CE">
        <w:rPr>
          <w:rFonts w:ascii="Times New Roman" w:eastAsia="MS Mincho" w:hAnsi="Times New Roman" w:cs="Times New Roman"/>
          <w:sz w:val="24"/>
          <w:szCs w:val="24"/>
        </w:rPr>
        <w:t xml:space="preserve"> low-risk. </w:t>
      </w:r>
    </w:p>
    <w:p w14:paraId="30381BA1" w14:textId="722B31F6" w:rsidR="009C30AE" w:rsidRPr="001F5B24" w:rsidRDefault="00E65A98" w:rsidP="009C30AE">
      <w:pPr>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Table</w:t>
      </w:r>
      <w:r w:rsidR="009C30AE" w:rsidRPr="001F5B24">
        <w:rPr>
          <w:rFonts w:ascii="Times New Roman" w:eastAsia="MS Mincho" w:hAnsi="Times New Roman" w:cs="Times New Roman"/>
          <w:b/>
          <w:bCs/>
          <w:sz w:val="24"/>
          <w:szCs w:val="24"/>
        </w:rPr>
        <w:t xml:space="preserve"> </w:t>
      </w:r>
      <w:r w:rsidR="00DF2FDD">
        <w:rPr>
          <w:rFonts w:ascii="Times New Roman" w:eastAsia="MS Mincho" w:hAnsi="Times New Roman" w:cs="Times New Roman"/>
          <w:b/>
          <w:bCs/>
          <w:sz w:val="24"/>
          <w:szCs w:val="24"/>
        </w:rPr>
        <w:t>8</w:t>
      </w:r>
      <w:r w:rsidR="009C30AE" w:rsidRPr="001F5B24">
        <w:rPr>
          <w:rFonts w:ascii="Times New Roman" w:eastAsia="MS Mincho" w:hAnsi="Times New Roman" w:cs="Times New Roman"/>
          <w:b/>
          <w:bCs/>
          <w:sz w:val="24"/>
          <w:szCs w:val="24"/>
        </w:rPr>
        <w:t>: Pretrial supervision by the level of supervision</w:t>
      </w:r>
    </w:p>
    <w:tbl>
      <w:tblPr>
        <w:tblStyle w:val="GridTable1Light"/>
        <w:tblW w:w="0" w:type="auto"/>
        <w:tblLook w:val="04A0" w:firstRow="1" w:lastRow="0" w:firstColumn="1" w:lastColumn="0" w:noHBand="0" w:noVBand="1"/>
      </w:tblPr>
      <w:tblGrid>
        <w:gridCol w:w="2337"/>
        <w:gridCol w:w="2337"/>
        <w:gridCol w:w="2337"/>
        <w:gridCol w:w="2337"/>
      </w:tblGrid>
      <w:tr w:rsidR="009C30AE" w:rsidRPr="001F5B24" w14:paraId="32399CDF" w14:textId="77777777" w:rsidTr="00E27AE1">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388C534" w14:textId="77777777" w:rsidR="009C30AE" w:rsidRPr="001F5B24" w:rsidRDefault="009C30AE"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Demographics </w:t>
            </w:r>
          </w:p>
        </w:tc>
        <w:tc>
          <w:tcPr>
            <w:tcW w:w="2337" w:type="dxa"/>
          </w:tcPr>
          <w:p w14:paraId="6102544C" w14:textId="77777777" w:rsidR="009C30AE" w:rsidRPr="001F5B24" w:rsidRDefault="009C30AE" w:rsidP="00E27AE1">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168E3EB" w14:textId="77777777" w:rsidR="009C30AE" w:rsidRPr="001F5B24" w:rsidRDefault="009C30AE"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N </w:t>
            </w:r>
          </w:p>
        </w:tc>
        <w:tc>
          <w:tcPr>
            <w:tcW w:w="2337" w:type="dxa"/>
          </w:tcPr>
          <w:p w14:paraId="1FFC6EF6" w14:textId="77777777" w:rsidR="009C30AE" w:rsidRPr="001F5B24" w:rsidRDefault="009C30AE"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w:t>
            </w:r>
          </w:p>
        </w:tc>
      </w:tr>
      <w:tr w:rsidR="009C30AE" w:rsidRPr="001F5B24" w14:paraId="3FE54178" w14:textId="77777777" w:rsidTr="00E27AE1">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6743F81E" w14:textId="77777777" w:rsidR="009C30AE" w:rsidRPr="001F5B24" w:rsidRDefault="009C30AE"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Pretrial Supervision </w:t>
            </w:r>
          </w:p>
        </w:tc>
        <w:tc>
          <w:tcPr>
            <w:tcW w:w="2337" w:type="dxa"/>
          </w:tcPr>
          <w:p w14:paraId="35928053"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5051B96E" w14:textId="246EEDFB"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(n=</w:t>
            </w:r>
            <w:r w:rsidR="005E3B73">
              <w:rPr>
                <w:rFonts w:ascii="Times New Roman" w:hAnsi="Times New Roman" w:cs="Times New Roman"/>
                <w:color w:val="auto"/>
                <w:sz w:val="24"/>
                <w:szCs w:val="24"/>
              </w:rPr>
              <w:t>198</w:t>
            </w:r>
            <w:r w:rsidRPr="001F5B24">
              <w:rPr>
                <w:rFonts w:ascii="Times New Roman" w:hAnsi="Times New Roman" w:cs="Times New Roman"/>
                <w:color w:val="auto"/>
                <w:sz w:val="24"/>
                <w:szCs w:val="24"/>
              </w:rPr>
              <w:t>)</w:t>
            </w:r>
          </w:p>
        </w:tc>
        <w:tc>
          <w:tcPr>
            <w:tcW w:w="2337" w:type="dxa"/>
          </w:tcPr>
          <w:p w14:paraId="6A43A386" w14:textId="77777777"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9C30AE" w:rsidRPr="001F5B24" w14:paraId="0E75B91C"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90D60C0" w14:textId="77777777" w:rsidR="009C30AE" w:rsidRPr="001F5B24" w:rsidRDefault="009C30AE" w:rsidP="00E27AE1">
            <w:pPr>
              <w:pStyle w:val="Content"/>
              <w:rPr>
                <w:rFonts w:ascii="Times New Roman" w:hAnsi="Times New Roman" w:cs="Times New Roman"/>
                <w:color w:val="auto"/>
                <w:sz w:val="24"/>
                <w:szCs w:val="24"/>
              </w:rPr>
            </w:pPr>
          </w:p>
        </w:tc>
        <w:tc>
          <w:tcPr>
            <w:tcW w:w="2337" w:type="dxa"/>
          </w:tcPr>
          <w:p w14:paraId="71457C84"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Low </w:t>
            </w:r>
          </w:p>
        </w:tc>
        <w:tc>
          <w:tcPr>
            <w:tcW w:w="2337" w:type="dxa"/>
          </w:tcPr>
          <w:p w14:paraId="11C6BAD5" w14:textId="4584959E" w:rsidR="009C30AE" w:rsidRPr="001F5B24" w:rsidRDefault="005E3B73"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2337" w:type="dxa"/>
          </w:tcPr>
          <w:p w14:paraId="0FFA3FFE" w14:textId="5FE53EB6"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15.</w:t>
            </w:r>
            <w:r w:rsidR="005E3B73">
              <w:rPr>
                <w:rFonts w:ascii="Times New Roman" w:hAnsi="Times New Roman" w:cs="Times New Roman"/>
                <w:color w:val="auto"/>
                <w:sz w:val="24"/>
                <w:szCs w:val="24"/>
              </w:rPr>
              <w:t>66</w:t>
            </w:r>
          </w:p>
        </w:tc>
      </w:tr>
      <w:tr w:rsidR="009C30AE" w:rsidRPr="001F5B24" w14:paraId="071A5CD6"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54B25BC" w14:textId="77777777" w:rsidR="009C30AE" w:rsidRPr="001F5B24" w:rsidRDefault="009C30AE" w:rsidP="00E27AE1">
            <w:pPr>
              <w:pStyle w:val="Content"/>
              <w:rPr>
                <w:rFonts w:ascii="Times New Roman" w:hAnsi="Times New Roman" w:cs="Times New Roman"/>
                <w:color w:val="auto"/>
                <w:sz w:val="24"/>
                <w:szCs w:val="24"/>
              </w:rPr>
            </w:pPr>
          </w:p>
        </w:tc>
        <w:tc>
          <w:tcPr>
            <w:tcW w:w="2337" w:type="dxa"/>
          </w:tcPr>
          <w:p w14:paraId="3EF390D6"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Moderate </w:t>
            </w:r>
          </w:p>
        </w:tc>
        <w:tc>
          <w:tcPr>
            <w:tcW w:w="2337" w:type="dxa"/>
          </w:tcPr>
          <w:p w14:paraId="21083F08" w14:textId="036B35C3"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12</w:t>
            </w:r>
            <w:r w:rsidR="005E3B73">
              <w:rPr>
                <w:rFonts w:ascii="Times New Roman" w:hAnsi="Times New Roman" w:cs="Times New Roman"/>
                <w:color w:val="auto"/>
                <w:sz w:val="24"/>
                <w:szCs w:val="24"/>
              </w:rPr>
              <w:t>9</w:t>
            </w:r>
          </w:p>
        </w:tc>
        <w:tc>
          <w:tcPr>
            <w:tcW w:w="2337" w:type="dxa"/>
          </w:tcPr>
          <w:p w14:paraId="5466CEDA" w14:textId="6E19B274"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69.</w:t>
            </w:r>
            <w:r w:rsidR="005E3B73">
              <w:rPr>
                <w:rFonts w:ascii="Times New Roman" w:hAnsi="Times New Roman" w:cs="Times New Roman"/>
                <w:color w:val="auto"/>
                <w:sz w:val="24"/>
                <w:szCs w:val="24"/>
              </w:rPr>
              <w:t>15</w:t>
            </w:r>
          </w:p>
        </w:tc>
      </w:tr>
      <w:tr w:rsidR="009C30AE" w:rsidRPr="001F5B24" w14:paraId="3E511E17" w14:textId="77777777" w:rsidTr="00E27AE1">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196836D7" w14:textId="77777777" w:rsidR="009C30AE" w:rsidRPr="001F5B24" w:rsidRDefault="009C30AE" w:rsidP="00E27AE1">
            <w:pPr>
              <w:pStyle w:val="Content"/>
              <w:rPr>
                <w:rFonts w:ascii="Times New Roman" w:hAnsi="Times New Roman" w:cs="Times New Roman"/>
                <w:color w:val="auto"/>
                <w:sz w:val="24"/>
                <w:szCs w:val="24"/>
              </w:rPr>
            </w:pPr>
          </w:p>
        </w:tc>
        <w:tc>
          <w:tcPr>
            <w:tcW w:w="2337" w:type="dxa"/>
          </w:tcPr>
          <w:p w14:paraId="4E0C9951" w14:textId="77777777" w:rsidR="009C30AE" w:rsidRPr="001F5B24" w:rsidRDefault="009C30AE"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2337" w:type="dxa"/>
          </w:tcPr>
          <w:p w14:paraId="54628FA4" w14:textId="541027C9" w:rsidR="009C30AE" w:rsidRPr="001F5B24" w:rsidRDefault="005E3B73"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38</w:t>
            </w:r>
          </w:p>
        </w:tc>
        <w:tc>
          <w:tcPr>
            <w:tcW w:w="2337" w:type="dxa"/>
          </w:tcPr>
          <w:p w14:paraId="642D70E6" w14:textId="40CC6AA4" w:rsidR="009C30AE" w:rsidRPr="001F5B24" w:rsidRDefault="009C30AE"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w:t>
            </w:r>
            <w:r w:rsidR="0048587E">
              <w:rPr>
                <w:rFonts w:ascii="Times New Roman" w:hAnsi="Times New Roman" w:cs="Times New Roman"/>
                <w:color w:val="auto"/>
                <w:sz w:val="24"/>
                <w:szCs w:val="24"/>
              </w:rPr>
              <w:t>9.19</w:t>
            </w:r>
          </w:p>
        </w:tc>
      </w:tr>
    </w:tbl>
    <w:p w14:paraId="6E6A956D" w14:textId="3D94E4CF" w:rsidR="007859B1" w:rsidRDefault="007859B1" w:rsidP="009C30AE">
      <w:pPr>
        <w:jc w:val="both"/>
        <w:rPr>
          <w:rFonts w:ascii="Times New Roman" w:eastAsia="MS Mincho" w:hAnsi="Times New Roman" w:cs="Times New Roman"/>
          <w:b/>
          <w:bCs/>
          <w:color w:val="4472C4" w:themeColor="accent1"/>
          <w:sz w:val="24"/>
          <w:szCs w:val="24"/>
        </w:rPr>
      </w:pPr>
    </w:p>
    <w:p w14:paraId="141AA302" w14:textId="5CEC33FB" w:rsidR="00EA7A43" w:rsidRDefault="00EA7A43" w:rsidP="009C30AE">
      <w:pPr>
        <w:jc w:val="both"/>
        <w:rPr>
          <w:rFonts w:ascii="Times New Roman" w:eastAsia="MS Mincho" w:hAnsi="Times New Roman" w:cs="Times New Roman"/>
          <w:b/>
          <w:bCs/>
          <w:color w:val="4472C4" w:themeColor="accent1"/>
          <w:sz w:val="24"/>
          <w:szCs w:val="24"/>
        </w:rPr>
      </w:pPr>
    </w:p>
    <w:p w14:paraId="6C92FD1F" w14:textId="5E057F67" w:rsidR="00EA7A43" w:rsidRDefault="00EA7A43" w:rsidP="009C30AE">
      <w:pPr>
        <w:jc w:val="both"/>
        <w:rPr>
          <w:rFonts w:ascii="Times New Roman" w:eastAsia="MS Mincho" w:hAnsi="Times New Roman" w:cs="Times New Roman"/>
          <w:b/>
          <w:bCs/>
          <w:color w:val="4472C4" w:themeColor="accent1"/>
          <w:sz w:val="24"/>
          <w:szCs w:val="24"/>
        </w:rPr>
      </w:pPr>
    </w:p>
    <w:p w14:paraId="13F5770D" w14:textId="4AE4DF06" w:rsidR="00EA7A43" w:rsidRDefault="00EA7A43" w:rsidP="009C30AE">
      <w:pPr>
        <w:jc w:val="both"/>
        <w:rPr>
          <w:rFonts w:ascii="Times New Roman" w:eastAsia="MS Mincho" w:hAnsi="Times New Roman" w:cs="Times New Roman"/>
          <w:b/>
          <w:bCs/>
          <w:color w:val="4472C4" w:themeColor="accent1"/>
          <w:sz w:val="24"/>
          <w:szCs w:val="24"/>
        </w:rPr>
      </w:pPr>
    </w:p>
    <w:p w14:paraId="494CD6F3" w14:textId="23DF0617" w:rsidR="00EA7A43" w:rsidRDefault="00EA7A43" w:rsidP="009C30AE">
      <w:pPr>
        <w:jc w:val="both"/>
        <w:rPr>
          <w:rFonts w:ascii="Times New Roman" w:eastAsia="MS Mincho" w:hAnsi="Times New Roman" w:cs="Times New Roman"/>
          <w:b/>
          <w:bCs/>
          <w:color w:val="4472C4" w:themeColor="accent1"/>
          <w:sz w:val="24"/>
          <w:szCs w:val="24"/>
        </w:rPr>
      </w:pPr>
    </w:p>
    <w:p w14:paraId="3DF963B7" w14:textId="237348A3" w:rsidR="00EA7A43" w:rsidRDefault="00EA7A43" w:rsidP="009C30AE">
      <w:pPr>
        <w:jc w:val="both"/>
        <w:rPr>
          <w:rFonts w:ascii="Times New Roman" w:eastAsia="MS Mincho" w:hAnsi="Times New Roman" w:cs="Times New Roman"/>
          <w:b/>
          <w:bCs/>
          <w:color w:val="4472C4" w:themeColor="accent1"/>
          <w:sz w:val="24"/>
          <w:szCs w:val="24"/>
        </w:rPr>
      </w:pPr>
    </w:p>
    <w:p w14:paraId="18B650EF" w14:textId="254BB1C0" w:rsidR="00EA7A43" w:rsidRDefault="00EA7A43" w:rsidP="009C30AE">
      <w:pPr>
        <w:jc w:val="both"/>
        <w:rPr>
          <w:rFonts w:ascii="Times New Roman" w:eastAsia="MS Mincho" w:hAnsi="Times New Roman" w:cs="Times New Roman"/>
          <w:b/>
          <w:bCs/>
          <w:color w:val="4472C4" w:themeColor="accent1"/>
          <w:sz w:val="24"/>
          <w:szCs w:val="24"/>
        </w:rPr>
      </w:pPr>
    </w:p>
    <w:p w14:paraId="63EECCD1" w14:textId="5B34655C" w:rsidR="00EA7A43" w:rsidRDefault="00EA7A43" w:rsidP="009C30AE">
      <w:pPr>
        <w:jc w:val="both"/>
        <w:rPr>
          <w:rFonts w:ascii="Times New Roman" w:eastAsia="MS Mincho" w:hAnsi="Times New Roman" w:cs="Times New Roman"/>
          <w:b/>
          <w:bCs/>
          <w:color w:val="4472C4" w:themeColor="accent1"/>
          <w:sz w:val="24"/>
          <w:szCs w:val="24"/>
        </w:rPr>
      </w:pPr>
    </w:p>
    <w:p w14:paraId="72779180" w14:textId="0814858C" w:rsidR="00EA7A43" w:rsidRDefault="00EA7A43" w:rsidP="009C30AE">
      <w:pPr>
        <w:jc w:val="both"/>
        <w:rPr>
          <w:rFonts w:ascii="Times New Roman" w:eastAsia="MS Mincho" w:hAnsi="Times New Roman" w:cs="Times New Roman"/>
          <w:b/>
          <w:bCs/>
          <w:color w:val="4472C4" w:themeColor="accent1"/>
          <w:sz w:val="24"/>
          <w:szCs w:val="24"/>
        </w:rPr>
      </w:pPr>
    </w:p>
    <w:p w14:paraId="16540735" w14:textId="77777777" w:rsidR="00EA7A43" w:rsidRDefault="00EA7A43" w:rsidP="009C30AE">
      <w:pPr>
        <w:jc w:val="both"/>
        <w:rPr>
          <w:rFonts w:ascii="Times New Roman" w:eastAsia="MS Mincho" w:hAnsi="Times New Roman" w:cs="Times New Roman"/>
          <w:b/>
          <w:bCs/>
          <w:color w:val="4472C4" w:themeColor="accent1"/>
          <w:sz w:val="24"/>
          <w:szCs w:val="24"/>
        </w:rPr>
      </w:pPr>
    </w:p>
    <w:p w14:paraId="3FFA2A47" w14:textId="31503E16" w:rsidR="009C30AE" w:rsidRPr="001F5B24" w:rsidRDefault="009C30AE" w:rsidP="009C30AE">
      <w:pPr>
        <w:jc w:val="both"/>
        <w:rPr>
          <w:rFonts w:ascii="Times New Roman" w:eastAsia="MS Mincho" w:hAnsi="Times New Roman" w:cs="Times New Roman"/>
          <w:b/>
          <w:bCs/>
          <w:color w:val="4472C4" w:themeColor="accent1"/>
          <w:sz w:val="24"/>
          <w:szCs w:val="24"/>
        </w:rPr>
      </w:pPr>
      <w:r w:rsidRPr="00C35BFA">
        <w:rPr>
          <w:rFonts w:ascii="Times New Roman" w:eastAsia="MS Mincho" w:hAnsi="Times New Roman" w:cs="Times New Roman"/>
          <w:b/>
          <w:bCs/>
          <w:color w:val="4472C4" w:themeColor="accent1"/>
          <w:sz w:val="24"/>
          <w:szCs w:val="24"/>
        </w:rPr>
        <w:lastRenderedPageBreak/>
        <w:t xml:space="preserve">The number and percentage of assessed individuals by supervision level who fail to appear in court as required, are arrested for a new offense during the pretrial </w:t>
      </w:r>
      <w:r w:rsidR="00F86468" w:rsidRPr="00C35BFA">
        <w:rPr>
          <w:rFonts w:ascii="Times New Roman" w:eastAsia="MS Mincho" w:hAnsi="Times New Roman" w:cs="Times New Roman"/>
          <w:b/>
          <w:bCs/>
          <w:color w:val="4472C4" w:themeColor="accent1"/>
          <w:sz w:val="24"/>
          <w:szCs w:val="24"/>
        </w:rPr>
        <w:t>period or</w:t>
      </w:r>
      <w:r w:rsidRPr="00C35BFA">
        <w:rPr>
          <w:rFonts w:ascii="Times New Roman" w:eastAsia="MS Mincho" w:hAnsi="Times New Roman" w:cs="Times New Roman"/>
          <w:b/>
          <w:bCs/>
          <w:color w:val="4472C4" w:themeColor="accent1"/>
          <w:sz w:val="24"/>
          <w:szCs w:val="24"/>
        </w:rPr>
        <w:t xml:space="preserve"> have pretrial release</w:t>
      </w:r>
      <w:r w:rsidR="00C35BFA" w:rsidRPr="00C35BFA">
        <w:rPr>
          <w:rFonts w:ascii="Times New Roman" w:eastAsia="MS Mincho" w:hAnsi="Times New Roman" w:cs="Times New Roman"/>
          <w:b/>
          <w:bCs/>
          <w:color w:val="4472C4" w:themeColor="accent1"/>
          <w:sz w:val="24"/>
          <w:szCs w:val="24"/>
        </w:rPr>
        <w:t xml:space="preserve"> revoked by the court due to a technical violation of release conditions</w:t>
      </w:r>
    </w:p>
    <w:p w14:paraId="06FCEE38" w14:textId="11DBA487" w:rsidR="00D05EE4" w:rsidRDefault="00D05EE4" w:rsidP="009C30AE">
      <w:pPr>
        <w:jc w:val="both"/>
        <w:rPr>
          <w:rFonts w:ascii="Times New Roman" w:eastAsia="MS Mincho" w:hAnsi="Times New Roman" w:cs="Times New Roman"/>
          <w:sz w:val="24"/>
          <w:szCs w:val="24"/>
        </w:rPr>
      </w:pPr>
      <w:r w:rsidRPr="00D05EE4">
        <w:rPr>
          <w:rFonts w:ascii="Times New Roman" w:eastAsia="MS Mincho" w:hAnsi="Times New Roman" w:cs="Times New Roman"/>
          <w:sz w:val="24"/>
          <w:szCs w:val="24"/>
        </w:rPr>
        <w:t xml:space="preserve">The </w:t>
      </w:r>
      <w:r w:rsidR="00201DC3">
        <w:rPr>
          <w:rFonts w:ascii="Times New Roman" w:eastAsia="MS Mincho" w:hAnsi="Times New Roman" w:cs="Times New Roman"/>
          <w:sz w:val="24"/>
          <w:szCs w:val="24"/>
        </w:rPr>
        <w:t xml:space="preserve">failure-to-appear </w:t>
      </w:r>
      <w:r w:rsidR="00791206">
        <w:rPr>
          <w:rFonts w:ascii="Times New Roman" w:eastAsia="MS Mincho" w:hAnsi="Times New Roman" w:cs="Times New Roman"/>
          <w:sz w:val="24"/>
          <w:szCs w:val="24"/>
        </w:rPr>
        <w:t>rate was</w:t>
      </w:r>
      <w:r w:rsidRPr="00D05EE4">
        <w:rPr>
          <w:rFonts w:ascii="Times New Roman" w:eastAsia="MS Mincho" w:hAnsi="Times New Roman" w:cs="Times New Roman"/>
          <w:sz w:val="24"/>
          <w:szCs w:val="24"/>
        </w:rPr>
        <w:t xml:space="preserve"> the highest among high-risk individuals</w:t>
      </w:r>
      <w:r w:rsidR="00CE0388">
        <w:rPr>
          <w:rFonts w:ascii="Times New Roman" w:eastAsia="MS Mincho" w:hAnsi="Times New Roman" w:cs="Times New Roman"/>
          <w:sz w:val="24"/>
          <w:szCs w:val="24"/>
        </w:rPr>
        <w:t>,</w:t>
      </w:r>
      <w:r w:rsidRPr="00D05EE4">
        <w:rPr>
          <w:rFonts w:ascii="Times New Roman" w:eastAsia="MS Mincho" w:hAnsi="Times New Roman" w:cs="Times New Roman"/>
          <w:sz w:val="24"/>
          <w:szCs w:val="24"/>
        </w:rPr>
        <w:t xml:space="preserve"> with an FTA rate of 37%, while </w:t>
      </w:r>
      <w:r w:rsidR="004C2B19">
        <w:rPr>
          <w:rFonts w:ascii="Times New Roman" w:eastAsia="MS Mincho" w:hAnsi="Times New Roman" w:cs="Times New Roman"/>
          <w:sz w:val="24"/>
          <w:szCs w:val="24"/>
        </w:rPr>
        <w:t>moderate-risk</w:t>
      </w:r>
      <w:r w:rsidRPr="00D05EE4">
        <w:rPr>
          <w:rFonts w:ascii="Times New Roman" w:eastAsia="MS Mincho" w:hAnsi="Times New Roman" w:cs="Times New Roman"/>
          <w:sz w:val="24"/>
          <w:szCs w:val="24"/>
        </w:rPr>
        <w:t xml:space="preserve"> has an FTA rate of 23%. </w:t>
      </w:r>
      <w:r w:rsidR="00E65A98">
        <w:rPr>
          <w:rFonts w:ascii="Times New Roman" w:eastAsia="MS Mincho" w:hAnsi="Times New Roman" w:cs="Times New Roman"/>
          <w:sz w:val="24"/>
          <w:szCs w:val="24"/>
        </w:rPr>
        <w:t>Table</w:t>
      </w:r>
      <w:r w:rsidRPr="00D05EE4">
        <w:rPr>
          <w:rFonts w:ascii="Times New Roman" w:eastAsia="MS Mincho" w:hAnsi="Times New Roman" w:cs="Times New Roman"/>
          <w:sz w:val="24"/>
          <w:szCs w:val="24"/>
        </w:rPr>
        <w:t xml:space="preserve"> 9 demonstrates that it is unlikely that individuals on pretrial supervision will commit a new misdemeanor arrest or new felony arrest. Accounting for all revocations, </w:t>
      </w:r>
      <w:r w:rsidR="00CE0388">
        <w:rPr>
          <w:rFonts w:ascii="Times New Roman" w:eastAsia="MS Mincho" w:hAnsi="Times New Roman" w:cs="Times New Roman"/>
          <w:sz w:val="24"/>
          <w:szCs w:val="24"/>
        </w:rPr>
        <w:t>an individual</w:t>
      </w:r>
      <w:r w:rsidRPr="00D05EE4">
        <w:rPr>
          <w:rFonts w:ascii="Times New Roman" w:eastAsia="MS Mincho" w:hAnsi="Times New Roman" w:cs="Times New Roman"/>
          <w:sz w:val="24"/>
          <w:szCs w:val="24"/>
        </w:rPr>
        <w:t xml:space="preserve"> who scored </w:t>
      </w:r>
      <w:r w:rsidR="00CE0388">
        <w:rPr>
          <w:rFonts w:ascii="Times New Roman" w:eastAsia="MS Mincho" w:hAnsi="Times New Roman" w:cs="Times New Roman"/>
          <w:sz w:val="24"/>
          <w:szCs w:val="24"/>
        </w:rPr>
        <w:t xml:space="preserve">as </w:t>
      </w:r>
      <w:r w:rsidRPr="00D05EE4">
        <w:rPr>
          <w:rFonts w:ascii="Times New Roman" w:eastAsia="MS Mincho" w:hAnsi="Times New Roman" w:cs="Times New Roman"/>
          <w:sz w:val="24"/>
          <w:szCs w:val="24"/>
        </w:rPr>
        <w:t>low</w:t>
      </w:r>
      <w:r w:rsidR="00CE0388">
        <w:rPr>
          <w:rFonts w:ascii="Times New Roman" w:eastAsia="MS Mincho" w:hAnsi="Times New Roman" w:cs="Times New Roman"/>
          <w:sz w:val="24"/>
          <w:szCs w:val="24"/>
        </w:rPr>
        <w:t>-risk</w:t>
      </w:r>
      <w:r w:rsidRPr="00D05EE4">
        <w:rPr>
          <w:rFonts w:ascii="Times New Roman" w:eastAsia="MS Mincho" w:hAnsi="Times New Roman" w:cs="Times New Roman"/>
          <w:sz w:val="24"/>
          <w:szCs w:val="24"/>
        </w:rPr>
        <w:t xml:space="preserve"> ha</w:t>
      </w:r>
      <w:r w:rsidR="001D4100">
        <w:rPr>
          <w:rFonts w:ascii="Times New Roman" w:eastAsia="MS Mincho" w:hAnsi="Times New Roman" w:cs="Times New Roman"/>
          <w:sz w:val="24"/>
          <w:szCs w:val="24"/>
        </w:rPr>
        <w:t>d</w:t>
      </w:r>
      <w:r w:rsidRPr="00D05EE4">
        <w:rPr>
          <w:rFonts w:ascii="Times New Roman" w:eastAsia="MS Mincho" w:hAnsi="Times New Roman" w:cs="Times New Roman"/>
          <w:sz w:val="24"/>
          <w:szCs w:val="24"/>
        </w:rPr>
        <w:t xml:space="preserve"> a 9.68% r</w:t>
      </w:r>
      <w:r w:rsidR="00152E02">
        <w:rPr>
          <w:rFonts w:ascii="Times New Roman" w:eastAsia="MS Mincho" w:hAnsi="Times New Roman" w:cs="Times New Roman"/>
          <w:sz w:val="24"/>
          <w:szCs w:val="24"/>
        </w:rPr>
        <w:t>evocation</w:t>
      </w:r>
      <w:r w:rsidRPr="00D05EE4">
        <w:rPr>
          <w:rFonts w:ascii="Times New Roman" w:eastAsia="MS Mincho" w:hAnsi="Times New Roman" w:cs="Times New Roman"/>
          <w:sz w:val="24"/>
          <w:szCs w:val="24"/>
        </w:rPr>
        <w:t xml:space="preserve"> rate. While those </w:t>
      </w:r>
      <w:r w:rsidR="007B79A1">
        <w:rPr>
          <w:rFonts w:ascii="Times New Roman" w:eastAsia="MS Mincho" w:hAnsi="Times New Roman" w:cs="Times New Roman"/>
          <w:sz w:val="24"/>
          <w:szCs w:val="24"/>
        </w:rPr>
        <w:t xml:space="preserve">who scored </w:t>
      </w:r>
      <w:r w:rsidR="004C2B19">
        <w:rPr>
          <w:rFonts w:ascii="Times New Roman" w:eastAsia="MS Mincho" w:hAnsi="Times New Roman" w:cs="Times New Roman"/>
          <w:sz w:val="24"/>
          <w:szCs w:val="24"/>
        </w:rPr>
        <w:t>moderate-risk</w:t>
      </w:r>
      <w:r w:rsidRPr="00D05EE4">
        <w:rPr>
          <w:rFonts w:ascii="Times New Roman" w:eastAsia="MS Mincho" w:hAnsi="Times New Roman" w:cs="Times New Roman"/>
          <w:sz w:val="24"/>
          <w:szCs w:val="24"/>
        </w:rPr>
        <w:t xml:space="preserve"> ha</w:t>
      </w:r>
      <w:r w:rsidR="001D4100">
        <w:rPr>
          <w:rFonts w:ascii="Times New Roman" w:eastAsia="MS Mincho" w:hAnsi="Times New Roman" w:cs="Times New Roman"/>
          <w:sz w:val="24"/>
          <w:szCs w:val="24"/>
        </w:rPr>
        <w:t>d</w:t>
      </w:r>
      <w:r w:rsidRPr="00D05EE4">
        <w:rPr>
          <w:rFonts w:ascii="Times New Roman" w:eastAsia="MS Mincho" w:hAnsi="Times New Roman" w:cs="Times New Roman"/>
          <w:sz w:val="24"/>
          <w:szCs w:val="24"/>
        </w:rPr>
        <w:t xml:space="preserve"> a 26% </w:t>
      </w:r>
      <w:r w:rsidR="00152E02">
        <w:rPr>
          <w:rFonts w:ascii="Times New Roman" w:eastAsia="MS Mincho" w:hAnsi="Times New Roman" w:cs="Times New Roman"/>
          <w:sz w:val="24"/>
          <w:szCs w:val="24"/>
        </w:rPr>
        <w:t>revocation rate</w:t>
      </w:r>
      <w:r w:rsidRPr="00D05EE4">
        <w:rPr>
          <w:rFonts w:ascii="Times New Roman" w:eastAsia="MS Mincho" w:hAnsi="Times New Roman" w:cs="Times New Roman"/>
          <w:sz w:val="24"/>
          <w:szCs w:val="24"/>
        </w:rPr>
        <w:t xml:space="preserve"> and those </w:t>
      </w:r>
      <w:r w:rsidR="00152E02">
        <w:rPr>
          <w:rFonts w:ascii="Times New Roman" w:eastAsia="MS Mincho" w:hAnsi="Times New Roman" w:cs="Times New Roman"/>
          <w:sz w:val="24"/>
          <w:szCs w:val="24"/>
        </w:rPr>
        <w:t>who scored</w:t>
      </w:r>
      <w:r w:rsidRPr="00D05EE4">
        <w:rPr>
          <w:rFonts w:ascii="Times New Roman" w:eastAsia="MS Mincho" w:hAnsi="Times New Roman" w:cs="Times New Roman"/>
          <w:sz w:val="24"/>
          <w:szCs w:val="24"/>
        </w:rPr>
        <w:t xml:space="preserve"> high-risk, ha</w:t>
      </w:r>
      <w:r w:rsidR="001D4100">
        <w:rPr>
          <w:rFonts w:ascii="Times New Roman" w:eastAsia="MS Mincho" w:hAnsi="Times New Roman" w:cs="Times New Roman"/>
          <w:sz w:val="24"/>
          <w:szCs w:val="24"/>
        </w:rPr>
        <w:t>d</w:t>
      </w:r>
      <w:r w:rsidRPr="00D05EE4">
        <w:rPr>
          <w:rFonts w:ascii="Times New Roman" w:eastAsia="MS Mincho" w:hAnsi="Times New Roman" w:cs="Times New Roman"/>
          <w:sz w:val="24"/>
          <w:szCs w:val="24"/>
        </w:rPr>
        <w:t xml:space="preserve"> a 42% </w:t>
      </w:r>
      <w:r w:rsidR="007B79A1">
        <w:rPr>
          <w:rFonts w:ascii="Times New Roman" w:eastAsia="MS Mincho" w:hAnsi="Times New Roman" w:cs="Times New Roman"/>
          <w:sz w:val="24"/>
          <w:szCs w:val="24"/>
        </w:rPr>
        <w:t>revocation</w:t>
      </w:r>
      <w:r w:rsidRPr="00D05EE4">
        <w:rPr>
          <w:rFonts w:ascii="Times New Roman" w:eastAsia="MS Mincho" w:hAnsi="Times New Roman" w:cs="Times New Roman"/>
          <w:sz w:val="24"/>
          <w:szCs w:val="24"/>
        </w:rPr>
        <w:t xml:space="preserve"> rate. However, the overall </w:t>
      </w:r>
      <w:r w:rsidR="007B79A1">
        <w:rPr>
          <w:rFonts w:ascii="Times New Roman" w:eastAsia="MS Mincho" w:hAnsi="Times New Roman" w:cs="Times New Roman"/>
          <w:sz w:val="24"/>
          <w:szCs w:val="24"/>
        </w:rPr>
        <w:t>revocation</w:t>
      </w:r>
      <w:r w:rsidRPr="00D05EE4">
        <w:rPr>
          <w:rFonts w:ascii="Times New Roman" w:eastAsia="MS Mincho" w:hAnsi="Times New Roman" w:cs="Times New Roman"/>
          <w:sz w:val="24"/>
          <w:szCs w:val="24"/>
        </w:rPr>
        <w:t xml:space="preserve"> rate for all </w:t>
      </w:r>
      <w:r w:rsidR="00896F68">
        <w:rPr>
          <w:rFonts w:ascii="Times New Roman" w:eastAsia="MS Mincho" w:hAnsi="Times New Roman" w:cs="Times New Roman"/>
          <w:sz w:val="24"/>
          <w:szCs w:val="24"/>
        </w:rPr>
        <w:t xml:space="preserve">those who were </w:t>
      </w:r>
      <w:r w:rsidRPr="00D05EE4">
        <w:rPr>
          <w:rFonts w:ascii="Times New Roman" w:eastAsia="MS Mincho" w:hAnsi="Times New Roman" w:cs="Times New Roman"/>
          <w:sz w:val="24"/>
          <w:szCs w:val="24"/>
        </w:rPr>
        <w:t xml:space="preserve">released on pretrial supervision </w:t>
      </w:r>
      <w:r w:rsidR="00896F68">
        <w:rPr>
          <w:rFonts w:ascii="Times New Roman" w:eastAsia="MS Mincho" w:hAnsi="Times New Roman" w:cs="Times New Roman"/>
          <w:sz w:val="24"/>
          <w:szCs w:val="24"/>
        </w:rPr>
        <w:t>was</w:t>
      </w:r>
      <w:r w:rsidRPr="00D05EE4">
        <w:rPr>
          <w:rFonts w:ascii="Times New Roman" w:eastAsia="MS Mincho" w:hAnsi="Times New Roman" w:cs="Times New Roman"/>
          <w:sz w:val="24"/>
          <w:szCs w:val="24"/>
        </w:rPr>
        <w:t xml:space="preserve"> 27%. This rate does not account for those released on ORR</w:t>
      </w:r>
      <w:r w:rsidR="00F527BE">
        <w:rPr>
          <w:rFonts w:ascii="Times New Roman" w:eastAsia="MS Mincho" w:hAnsi="Times New Roman" w:cs="Times New Roman"/>
          <w:sz w:val="24"/>
          <w:szCs w:val="24"/>
        </w:rPr>
        <w:t xml:space="preserve">, as Solano County </w:t>
      </w:r>
      <w:r w:rsidR="00F4602A">
        <w:rPr>
          <w:rFonts w:ascii="Times New Roman" w:eastAsia="MS Mincho" w:hAnsi="Times New Roman" w:cs="Times New Roman"/>
          <w:sz w:val="24"/>
          <w:szCs w:val="24"/>
        </w:rPr>
        <w:t>Probation</w:t>
      </w:r>
      <w:r w:rsidR="00D5365E">
        <w:rPr>
          <w:rFonts w:ascii="Times New Roman" w:eastAsia="MS Mincho" w:hAnsi="Times New Roman" w:cs="Times New Roman"/>
          <w:sz w:val="24"/>
          <w:szCs w:val="24"/>
        </w:rPr>
        <w:t xml:space="preserve"> </w:t>
      </w:r>
      <w:r w:rsidR="00F527BE">
        <w:rPr>
          <w:rFonts w:ascii="Times New Roman" w:eastAsia="MS Mincho" w:hAnsi="Times New Roman" w:cs="Times New Roman"/>
          <w:sz w:val="24"/>
          <w:szCs w:val="24"/>
        </w:rPr>
        <w:t xml:space="preserve">does not track that information. </w:t>
      </w:r>
    </w:p>
    <w:p w14:paraId="2E6CA0C5" w14:textId="2E24160D" w:rsidR="009C30AE" w:rsidRPr="001F5B24" w:rsidRDefault="00E65A98" w:rsidP="009C30AE">
      <w:pPr>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Table</w:t>
      </w:r>
      <w:r w:rsidR="009C30AE" w:rsidRPr="001F5B24">
        <w:rPr>
          <w:rFonts w:ascii="Times New Roman" w:eastAsia="MS Mincho" w:hAnsi="Times New Roman" w:cs="Times New Roman"/>
          <w:b/>
          <w:bCs/>
          <w:sz w:val="24"/>
          <w:szCs w:val="24"/>
        </w:rPr>
        <w:t xml:space="preserve"> </w:t>
      </w:r>
      <w:r w:rsidR="00DF2FDD">
        <w:rPr>
          <w:rFonts w:ascii="Times New Roman" w:eastAsia="MS Mincho" w:hAnsi="Times New Roman" w:cs="Times New Roman"/>
          <w:b/>
          <w:bCs/>
          <w:sz w:val="24"/>
          <w:szCs w:val="24"/>
        </w:rPr>
        <w:t>9</w:t>
      </w:r>
      <w:r w:rsidR="009C30AE" w:rsidRPr="001F5B24">
        <w:rPr>
          <w:rFonts w:ascii="Times New Roman" w:eastAsia="MS Mincho" w:hAnsi="Times New Roman" w:cs="Times New Roman"/>
          <w:b/>
          <w:bCs/>
          <w:sz w:val="24"/>
          <w:szCs w:val="24"/>
        </w:rPr>
        <w:t>: Fail to Appear or new conviction for those in pretrial supervision or direct court pretrial.</w:t>
      </w:r>
    </w:p>
    <w:tbl>
      <w:tblPr>
        <w:tblStyle w:val="GridTable1Light"/>
        <w:tblW w:w="10890" w:type="dxa"/>
        <w:tblInd w:w="-545" w:type="dxa"/>
        <w:tblLook w:val="04A0" w:firstRow="1" w:lastRow="0" w:firstColumn="1" w:lastColumn="0" w:noHBand="0" w:noVBand="1"/>
      </w:tblPr>
      <w:tblGrid>
        <w:gridCol w:w="1253"/>
        <w:gridCol w:w="747"/>
        <w:gridCol w:w="1045"/>
        <w:gridCol w:w="803"/>
        <w:gridCol w:w="973"/>
        <w:gridCol w:w="805"/>
        <w:gridCol w:w="936"/>
        <w:gridCol w:w="803"/>
        <w:gridCol w:w="936"/>
        <w:gridCol w:w="830"/>
        <w:gridCol w:w="956"/>
        <w:gridCol w:w="803"/>
      </w:tblGrid>
      <w:tr w:rsidR="00AA4417" w:rsidRPr="001F5B24" w14:paraId="36E0F3D8" w14:textId="77777777" w:rsidTr="00AA441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53" w:type="dxa"/>
          </w:tcPr>
          <w:p w14:paraId="18607CB6" w14:textId="77777777" w:rsidR="00AA4417" w:rsidRPr="001F5B24" w:rsidRDefault="00AA4417" w:rsidP="00E27AE1">
            <w:pPr>
              <w:pStyle w:val="Content"/>
              <w:rPr>
                <w:rFonts w:ascii="Times New Roman" w:hAnsi="Times New Roman" w:cs="Times New Roman"/>
                <w:color w:val="auto"/>
                <w:sz w:val="24"/>
                <w:szCs w:val="24"/>
              </w:rPr>
            </w:pPr>
          </w:p>
        </w:tc>
        <w:tc>
          <w:tcPr>
            <w:tcW w:w="747" w:type="dxa"/>
          </w:tcPr>
          <w:p w14:paraId="489D0F1C" w14:textId="77777777" w:rsidR="00AA4417" w:rsidRPr="001F5B24" w:rsidRDefault="00AA4417" w:rsidP="00E27AE1">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48" w:type="dxa"/>
            <w:gridSpan w:val="2"/>
          </w:tcPr>
          <w:p w14:paraId="4C597977" w14:textId="77777777" w:rsidR="00AA4417" w:rsidRPr="001F5B24"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FTA</w:t>
            </w:r>
          </w:p>
        </w:tc>
        <w:tc>
          <w:tcPr>
            <w:tcW w:w="1778" w:type="dxa"/>
            <w:gridSpan w:val="2"/>
          </w:tcPr>
          <w:p w14:paraId="1F95B156" w14:textId="77777777" w:rsidR="00AA4417" w:rsidRPr="001F5B24"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New Misdemeanor </w:t>
            </w:r>
          </w:p>
        </w:tc>
        <w:tc>
          <w:tcPr>
            <w:tcW w:w="1739" w:type="dxa"/>
            <w:gridSpan w:val="2"/>
          </w:tcPr>
          <w:p w14:paraId="2F40A6FB" w14:textId="77777777" w:rsidR="00AA4417"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1F5B24">
              <w:rPr>
                <w:rFonts w:ascii="Times New Roman" w:hAnsi="Times New Roman" w:cs="Times New Roman"/>
                <w:color w:val="auto"/>
                <w:sz w:val="24"/>
                <w:szCs w:val="24"/>
              </w:rPr>
              <w:t>New</w:t>
            </w:r>
          </w:p>
          <w:p w14:paraId="4CC0E152" w14:textId="76DA4973" w:rsidR="00AA4417" w:rsidRPr="001F5B24"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 Felony </w:t>
            </w:r>
          </w:p>
        </w:tc>
        <w:tc>
          <w:tcPr>
            <w:tcW w:w="1766" w:type="dxa"/>
            <w:gridSpan w:val="2"/>
          </w:tcPr>
          <w:p w14:paraId="4AC2AE27" w14:textId="03F55C15" w:rsidR="00AA4417" w:rsidRPr="001F5B24"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Pretrial Revoked </w:t>
            </w:r>
          </w:p>
        </w:tc>
        <w:tc>
          <w:tcPr>
            <w:tcW w:w="1759" w:type="dxa"/>
            <w:gridSpan w:val="2"/>
          </w:tcPr>
          <w:p w14:paraId="1E90DFA8" w14:textId="24A78C6B" w:rsidR="00AA4417" w:rsidRPr="001F5B24" w:rsidRDefault="00AA4417" w:rsidP="00E27AE1">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Total Revoked </w:t>
            </w:r>
          </w:p>
        </w:tc>
      </w:tr>
      <w:tr w:rsidR="00AA4417" w:rsidRPr="001F5B24" w14:paraId="0280E2C1" w14:textId="77777777" w:rsidTr="00AA4417">
        <w:trPr>
          <w:trHeight w:val="266"/>
        </w:trPr>
        <w:tc>
          <w:tcPr>
            <w:cnfStyle w:val="001000000000" w:firstRow="0" w:lastRow="0" w:firstColumn="1" w:lastColumn="0" w:oddVBand="0" w:evenVBand="0" w:oddHBand="0" w:evenHBand="0" w:firstRowFirstColumn="0" w:firstRowLastColumn="0" w:lastRowFirstColumn="0" w:lastRowLastColumn="0"/>
            <w:tcW w:w="1253" w:type="dxa"/>
          </w:tcPr>
          <w:p w14:paraId="6EF767B4" w14:textId="77777777" w:rsidR="00AA4417" w:rsidRPr="001F5B24" w:rsidRDefault="00AA4417"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Monitor Level </w:t>
            </w:r>
          </w:p>
        </w:tc>
        <w:tc>
          <w:tcPr>
            <w:tcW w:w="747" w:type="dxa"/>
          </w:tcPr>
          <w:p w14:paraId="2452541C"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Total</w:t>
            </w:r>
          </w:p>
        </w:tc>
        <w:tc>
          <w:tcPr>
            <w:tcW w:w="1045" w:type="dxa"/>
          </w:tcPr>
          <w:p w14:paraId="0571896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3" w:type="dxa"/>
          </w:tcPr>
          <w:p w14:paraId="6FB1A024"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73" w:type="dxa"/>
          </w:tcPr>
          <w:p w14:paraId="0C596FDB"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5" w:type="dxa"/>
          </w:tcPr>
          <w:p w14:paraId="5E24D1E4"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36" w:type="dxa"/>
          </w:tcPr>
          <w:p w14:paraId="4594ED8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Percent</w:t>
            </w:r>
          </w:p>
        </w:tc>
        <w:tc>
          <w:tcPr>
            <w:tcW w:w="803" w:type="dxa"/>
          </w:tcPr>
          <w:p w14:paraId="7D69E5E7"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c>
          <w:tcPr>
            <w:tcW w:w="936" w:type="dxa"/>
          </w:tcPr>
          <w:p w14:paraId="2C6B4B78" w14:textId="35CA24DD"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Percent </w:t>
            </w:r>
          </w:p>
        </w:tc>
        <w:tc>
          <w:tcPr>
            <w:tcW w:w="830" w:type="dxa"/>
          </w:tcPr>
          <w:p w14:paraId="0CF34ED0" w14:textId="35851415"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Count</w:t>
            </w:r>
          </w:p>
        </w:tc>
        <w:tc>
          <w:tcPr>
            <w:tcW w:w="956" w:type="dxa"/>
          </w:tcPr>
          <w:p w14:paraId="62A5CB26" w14:textId="5019E858"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Percent </w:t>
            </w:r>
          </w:p>
        </w:tc>
        <w:tc>
          <w:tcPr>
            <w:tcW w:w="803" w:type="dxa"/>
          </w:tcPr>
          <w:p w14:paraId="0D6F50F1"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Count</w:t>
            </w:r>
          </w:p>
        </w:tc>
      </w:tr>
      <w:tr w:rsidR="00AA4417" w:rsidRPr="001F5B24" w14:paraId="2EEC1098" w14:textId="77777777" w:rsidTr="00AA4417">
        <w:trPr>
          <w:trHeight w:val="252"/>
        </w:trPr>
        <w:tc>
          <w:tcPr>
            <w:cnfStyle w:val="001000000000" w:firstRow="0" w:lastRow="0" w:firstColumn="1" w:lastColumn="0" w:oddVBand="0" w:evenVBand="0" w:oddHBand="0" w:evenHBand="0" w:firstRowFirstColumn="0" w:firstRowLastColumn="0" w:lastRowFirstColumn="0" w:lastRowLastColumn="0"/>
            <w:tcW w:w="1253" w:type="dxa"/>
          </w:tcPr>
          <w:p w14:paraId="2587B83E" w14:textId="77777777" w:rsidR="00AA4417" w:rsidRPr="001F5B24" w:rsidRDefault="00AA4417"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Low</w:t>
            </w:r>
          </w:p>
        </w:tc>
        <w:tc>
          <w:tcPr>
            <w:tcW w:w="747" w:type="dxa"/>
          </w:tcPr>
          <w:p w14:paraId="62B3E9DB"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 31</w:t>
            </w:r>
          </w:p>
        </w:tc>
        <w:tc>
          <w:tcPr>
            <w:tcW w:w="1045" w:type="dxa"/>
          </w:tcPr>
          <w:p w14:paraId="2B1F6468"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6.45%</w:t>
            </w:r>
          </w:p>
        </w:tc>
        <w:tc>
          <w:tcPr>
            <w:tcW w:w="803" w:type="dxa"/>
          </w:tcPr>
          <w:p w14:paraId="6E5BA832"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p>
        </w:tc>
        <w:tc>
          <w:tcPr>
            <w:tcW w:w="973" w:type="dxa"/>
          </w:tcPr>
          <w:p w14:paraId="4D506BC4"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5" w:type="dxa"/>
          </w:tcPr>
          <w:p w14:paraId="214323B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936" w:type="dxa"/>
          </w:tcPr>
          <w:p w14:paraId="27BE9B7F"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803" w:type="dxa"/>
          </w:tcPr>
          <w:p w14:paraId="56601374"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0</w:t>
            </w:r>
          </w:p>
        </w:tc>
        <w:tc>
          <w:tcPr>
            <w:tcW w:w="936" w:type="dxa"/>
          </w:tcPr>
          <w:p w14:paraId="6B384B21" w14:textId="12D2D4AD" w:rsidR="00AA4417" w:rsidRPr="001F5B24" w:rsidRDefault="0056220F"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830" w:type="dxa"/>
          </w:tcPr>
          <w:p w14:paraId="19259AE2" w14:textId="240B22E9" w:rsidR="00AA4417" w:rsidRPr="001F5B24" w:rsidRDefault="003023F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956" w:type="dxa"/>
          </w:tcPr>
          <w:p w14:paraId="3ED72B72" w14:textId="77F005A6" w:rsidR="00AA4417" w:rsidRPr="001F5B24" w:rsidRDefault="0026513C"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9.68</w:t>
            </w:r>
            <w:r w:rsidR="00AA4417" w:rsidRPr="001F5B24">
              <w:rPr>
                <w:rFonts w:ascii="Times New Roman" w:hAnsi="Times New Roman" w:cs="Times New Roman"/>
                <w:color w:val="auto"/>
                <w:sz w:val="24"/>
                <w:szCs w:val="24"/>
              </w:rPr>
              <w:t>%</w:t>
            </w:r>
          </w:p>
        </w:tc>
        <w:tc>
          <w:tcPr>
            <w:tcW w:w="803" w:type="dxa"/>
          </w:tcPr>
          <w:p w14:paraId="5FAA9A3D" w14:textId="0436CCEE" w:rsidR="00AA4417" w:rsidRPr="001F5B24" w:rsidRDefault="003023F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AA4417" w:rsidRPr="001F5B24" w14:paraId="2E0BF0D3" w14:textId="77777777" w:rsidTr="00AA4417">
        <w:trPr>
          <w:trHeight w:val="252"/>
        </w:trPr>
        <w:tc>
          <w:tcPr>
            <w:cnfStyle w:val="001000000000" w:firstRow="0" w:lastRow="0" w:firstColumn="1" w:lastColumn="0" w:oddVBand="0" w:evenVBand="0" w:oddHBand="0" w:evenHBand="0" w:firstRowFirstColumn="0" w:firstRowLastColumn="0" w:lastRowFirstColumn="0" w:lastRowLastColumn="0"/>
            <w:tcW w:w="1253" w:type="dxa"/>
          </w:tcPr>
          <w:p w14:paraId="3145696B" w14:textId="77777777" w:rsidR="00AA4417" w:rsidRPr="001F5B24" w:rsidRDefault="00AA4417"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Moderate</w:t>
            </w:r>
          </w:p>
        </w:tc>
        <w:tc>
          <w:tcPr>
            <w:tcW w:w="747" w:type="dxa"/>
          </w:tcPr>
          <w:p w14:paraId="4EE9EB50"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129</w:t>
            </w:r>
          </w:p>
        </w:tc>
        <w:tc>
          <w:tcPr>
            <w:tcW w:w="1045" w:type="dxa"/>
          </w:tcPr>
          <w:p w14:paraId="7EF533CD"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23.38%</w:t>
            </w:r>
          </w:p>
        </w:tc>
        <w:tc>
          <w:tcPr>
            <w:tcW w:w="803" w:type="dxa"/>
          </w:tcPr>
          <w:p w14:paraId="1FD13437"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22</w:t>
            </w:r>
          </w:p>
        </w:tc>
        <w:tc>
          <w:tcPr>
            <w:tcW w:w="973" w:type="dxa"/>
          </w:tcPr>
          <w:p w14:paraId="37CCD575"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2.33%</w:t>
            </w:r>
          </w:p>
        </w:tc>
        <w:tc>
          <w:tcPr>
            <w:tcW w:w="805" w:type="dxa"/>
          </w:tcPr>
          <w:p w14:paraId="4825BB2D"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w:t>
            </w:r>
          </w:p>
        </w:tc>
        <w:tc>
          <w:tcPr>
            <w:tcW w:w="936" w:type="dxa"/>
          </w:tcPr>
          <w:p w14:paraId="6A8A86B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4.65%</w:t>
            </w:r>
          </w:p>
        </w:tc>
        <w:tc>
          <w:tcPr>
            <w:tcW w:w="803" w:type="dxa"/>
          </w:tcPr>
          <w:p w14:paraId="5F5FCEE2"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6</w:t>
            </w:r>
          </w:p>
        </w:tc>
        <w:tc>
          <w:tcPr>
            <w:tcW w:w="936" w:type="dxa"/>
          </w:tcPr>
          <w:p w14:paraId="1DC82917" w14:textId="5E8A9B8E" w:rsidR="00AA4417" w:rsidRPr="001F5B24" w:rsidRDefault="004B0F96"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830" w:type="dxa"/>
          </w:tcPr>
          <w:p w14:paraId="629211F8" w14:textId="5A4719D6" w:rsidR="00AA4417" w:rsidRPr="001F5B24" w:rsidRDefault="003023F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956" w:type="dxa"/>
          </w:tcPr>
          <w:p w14:paraId="7990A637" w14:textId="274A9136"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r w:rsidR="00817DF7">
              <w:rPr>
                <w:rFonts w:ascii="Times New Roman" w:hAnsi="Times New Roman" w:cs="Times New Roman"/>
                <w:color w:val="auto"/>
                <w:sz w:val="24"/>
                <w:szCs w:val="24"/>
              </w:rPr>
              <w:t>6.36</w:t>
            </w:r>
            <w:r w:rsidRPr="001F5B24">
              <w:rPr>
                <w:rFonts w:ascii="Times New Roman" w:hAnsi="Times New Roman" w:cs="Times New Roman"/>
                <w:color w:val="auto"/>
                <w:sz w:val="24"/>
                <w:szCs w:val="24"/>
              </w:rPr>
              <w:t>%</w:t>
            </w:r>
          </w:p>
        </w:tc>
        <w:tc>
          <w:tcPr>
            <w:tcW w:w="803" w:type="dxa"/>
          </w:tcPr>
          <w:p w14:paraId="3D457E52" w14:textId="203B88FC"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w:t>
            </w:r>
            <w:r w:rsidR="003023F5">
              <w:rPr>
                <w:rFonts w:ascii="Times New Roman" w:hAnsi="Times New Roman" w:cs="Times New Roman"/>
                <w:color w:val="auto"/>
                <w:sz w:val="24"/>
                <w:szCs w:val="24"/>
              </w:rPr>
              <w:t>4</w:t>
            </w:r>
          </w:p>
        </w:tc>
      </w:tr>
      <w:tr w:rsidR="00AA4417" w:rsidRPr="001F5B24" w14:paraId="35F8F914" w14:textId="77777777" w:rsidTr="00AA4417">
        <w:trPr>
          <w:trHeight w:val="252"/>
        </w:trPr>
        <w:tc>
          <w:tcPr>
            <w:cnfStyle w:val="001000000000" w:firstRow="0" w:lastRow="0" w:firstColumn="1" w:lastColumn="0" w:oddVBand="0" w:evenVBand="0" w:oddHBand="0" w:evenHBand="0" w:firstRowFirstColumn="0" w:firstRowLastColumn="0" w:lastRowFirstColumn="0" w:lastRowLastColumn="0"/>
            <w:tcW w:w="1253" w:type="dxa"/>
          </w:tcPr>
          <w:p w14:paraId="1B228ABF" w14:textId="77777777" w:rsidR="00AA4417" w:rsidRPr="001F5B24" w:rsidRDefault="00AA4417"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High </w:t>
            </w:r>
          </w:p>
        </w:tc>
        <w:tc>
          <w:tcPr>
            <w:tcW w:w="747" w:type="dxa"/>
          </w:tcPr>
          <w:p w14:paraId="17318ECA"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 38</w:t>
            </w:r>
          </w:p>
        </w:tc>
        <w:tc>
          <w:tcPr>
            <w:tcW w:w="1045" w:type="dxa"/>
          </w:tcPr>
          <w:p w14:paraId="633FA735"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37.5%</w:t>
            </w:r>
          </w:p>
        </w:tc>
        <w:tc>
          <w:tcPr>
            <w:tcW w:w="803" w:type="dxa"/>
          </w:tcPr>
          <w:p w14:paraId="1BFE9591"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11</w:t>
            </w:r>
          </w:p>
        </w:tc>
        <w:tc>
          <w:tcPr>
            <w:tcW w:w="973" w:type="dxa"/>
          </w:tcPr>
          <w:p w14:paraId="10BC9214"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2.63%</w:t>
            </w:r>
          </w:p>
        </w:tc>
        <w:tc>
          <w:tcPr>
            <w:tcW w:w="805" w:type="dxa"/>
          </w:tcPr>
          <w:p w14:paraId="2D3CB7C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w:t>
            </w:r>
          </w:p>
        </w:tc>
        <w:tc>
          <w:tcPr>
            <w:tcW w:w="936" w:type="dxa"/>
          </w:tcPr>
          <w:p w14:paraId="0D63DF3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5.26%</w:t>
            </w:r>
          </w:p>
        </w:tc>
        <w:tc>
          <w:tcPr>
            <w:tcW w:w="803" w:type="dxa"/>
          </w:tcPr>
          <w:p w14:paraId="4B77B745"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p>
        </w:tc>
        <w:tc>
          <w:tcPr>
            <w:tcW w:w="936" w:type="dxa"/>
          </w:tcPr>
          <w:p w14:paraId="6B744593" w14:textId="12D8BF92" w:rsidR="00AA4417" w:rsidRPr="001F5B24" w:rsidRDefault="004B0F96"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5.26%</w:t>
            </w:r>
          </w:p>
        </w:tc>
        <w:tc>
          <w:tcPr>
            <w:tcW w:w="830" w:type="dxa"/>
          </w:tcPr>
          <w:p w14:paraId="2373DDC8" w14:textId="74B714BC" w:rsidR="00AA4417" w:rsidRPr="001F5B24" w:rsidRDefault="003023F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956" w:type="dxa"/>
          </w:tcPr>
          <w:p w14:paraId="4ABEADEE" w14:textId="33B566A6" w:rsidR="00AA4417" w:rsidRPr="001F5B24" w:rsidRDefault="00817DF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42.11</w:t>
            </w:r>
            <w:r w:rsidR="00AA4417" w:rsidRPr="001F5B24">
              <w:rPr>
                <w:rFonts w:ascii="Times New Roman" w:hAnsi="Times New Roman" w:cs="Times New Roman"/>
                <w:color w:val="auto"/>
                <w:sz w:val="24"/>
                <w:szCs w:val="24"/>
              </w:rPr>
              <w:t>%</w:t>
            </w:r>
          </w:p>
        </w:tc>
        <w:tc>
          <w:tcPr>
            <w:tcW w:w="803" w:type="dxa"/>
          </w:tcPr>
          <w:p w14:paraId="10235177" w14:textId="013726C9"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w:t>
            </w:r>
            <w:r w:rsidR="003023F5">
              <w:rPr>
                <w:rFonts w:ascii="Times New Roman" w:hAnsi="Times New Roman" w:cs="Times New Roman"/>
                <w:color w:val="auto"/>
                <w:sz w:val="24"/>
                <w:szCs w:val="24"/>
              </w:rPr>
              <w:t>6</w:t>
            </w:r>
          </w:p>
        </w:tc>
      </w:tr>
      <w:tr w:rsidR="00AA4417" w:rsidRPr="001F5B24" w14:paraId="002400CB" w14:textId="77777777" w:rsidTr="00AA4417">
        <w:trPr>
          <w:trHeight w:val="266"/>
        </w:trPr>
        <w:tc>
          <w:tcPr>
            <w:cnfStyle w:val="001000000000" w:firstRow="0" w:lastRow="0" w:firstColumn="1" w:lastColumn="0" w:oddVBand="0" w:evenVBand="0" w:oddHBand="0" w:evenHBand="0" w:firstRowFirstColumn="0" w:firstRowLastColumn="0" w:lastRowFirstColumn="0" w:lastRowLastColumn="0"/>
            <w:tcW w:w="1253" w:type="dxa"/>
          </w:tcPr>
          <w:p w14:paraId="2B784C9C" w14:textId="77777777" w:rsidR="00AA4417" w:rsidRPr="001F5B24" w:rsidRDefault="00AA4417" w:rsidP="00E27AE1">
            <w:pPr>
              <w:pStyle w:val="Content"/>
              <w:rPr>
                <w:rFonts w:ascii="Times New Roman" w:hAnsi="Times New Roman" w:cs="Times New Roman"/>
                <w:color w:val="auto"/>
                <w:sz w:val="24"/>
                <w:szCs w:val="24"/>
              </w:rPr>
            </w:pPr>
            <w:r w:rsidRPr="001F5B24">
              <w:rPr>
                <w:rFonts w:ascii="Times New Roman" w:hAnsi="Times New Roman" w:cs="Times New Roman"/>
                <w:color w:val="auto"/>
                <w:sz w:val="24"/>
                <w:szCs w:val="24"/>
              </w:rPr>
              <w:t xml:space="preserve">All Levels </w:t>
            </w:r>
          </w:p>
        </w:tc>
        <w:tc>
          <w:tcPr>
            <w:tcW w:w="747" w:type="dxa"/>
          </w:tcPr>
          <w:p w14:paraId="411FB611" w14:textId="77777777" w:rsidR="00AA4417" w:rsidRPr="001F5B24" w:rsidRDefault="00AA4417" w:rsidP="00E27AE1">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198</w:t>
            </w:r>
          </w:p>
        </w:tc>
        <w:tc>
          <w:tcPr>
            <w:tcW w:w="1045" w:type="dxa"/>
          </w:tcPr>
          <w:p w14:paraId="78988942"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21.87%</w:t>
            </w:r>
          </w:p>
        </w:tc>
        <w:tc>
          <w:tcPr>
            <w:tcW w:w="803" w:type="dxa"/>
          </w:tcPr>
          <w:p w14:paraId="0ED69613"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35</w:t>
            </w:r>
          </w:p>
        </w:tc>
        <w:tc>
          <w:tcPr>
            <w:tcW w:w="973" w:type="dxa"/>
          </w:tcPr>
          <w:p w14:paraId="59481C5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2.02%</w:t>
            </w:r>
          </w:p>
        </w:tc>
        <w:tc>
          <w:tcPr>
            <w:tcW w:w="805" w:type="dxa"/>
          </w:tcPr>
          <w:p w14:paraId="3E74DDDF"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w:t>
            </w:r>
          </w:p>
        </w:tc>
        <w:tc>
          <w:tcPr>
            <w:tcW w:w="936" w:type="dxa"/>
          </w:tcPr>
          <w:p w14:paraId="247095CC"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4.04%</w:t>
            </w:r>
          </w:p>
        </w:tc>
        <w:tc>
          <w:tcPr>
            <w:tcW w:w="803" w:type="dxa"/>
          </w:tcPr>
          <w:p w14:paraId="0E2F6829" w14:textId="77777777"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8</w:t>
            </w:r>
          </w:p>
        </w:tc>
        <w:tc>
          <w:tcPr>
            <w:tcW w:w="936" w:type="dxa"/>
          </w:tcPr>
          <w:p w14:paraId="4F86E3FA" w14:textId="073A617E" w:rsidR="00AA4417" w:rsidRPr="001F5B24" w:rsidRDefault="0026513C"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3.03%</w:t>
            </w:r>
          </w:p>
        </w:tc>
        <w:tc>
          <w:tcPr>
            <w:tcW w:w="830" w:type="dxa"/>
          </w:tcPr>
          <w:p w14:paraId="299638FD" w14:textId="2EA36303" w:rsidR="00AA4417" w:rsidRPr="001F5B24" w:rsidRDefault="003023F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956" w:type="dxa"/>
          </w:tcPr>
          <w:p w14:paraId="4BBBB773" w14:textId="261FBFA9" w:rsidR="00AA4417" w:rsidRPr="001F5B24" w:rsidRDefault="00AA4417"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F5B24">
              <w:rPr>
                <w:rFonts w:ascii="Times New Roman" w:hAnsi="Times New Roman" w:cs="Times New Roman"/>
                <w:color w:val="auto"/>
                <w:sz w:val="24"/>
                <w:szCs w:val="24"/>
              </w:rPr>
              <w:t>2</w:t>
            </w:r>
            <w:r w:rsidR="004B5CC9">
              <w:rPr>
                <w:rFonts w:ascii="Times New Roman" w:hAnsi="Times New Roman" w:cs="Times New Roman"/>
                <w:color w:val="auto"/>
                <w:sz w:val="24"/>
                <w:szCs w:val="24"/>
              </w:rPr>
              <w:t>6.77</w:t>
            </w:r>
            <w:r w:rsidRPr="001F5B24">
              <w:rPr>
                <w:rFonts w:ascii="Times New Roman" w:hAnsi="Times New Roman" w:cs="Times New Roman"/>
                <w:color w:val="auto"/>
                <w:sz w:val="24"/>
                <w:szCs w:val="24"/>
              </w:rPr>
              <w:t>%</w:t>
            </w:r>
          </w:p>
        </w:tc>
        <w:tc>
          <w:tcPr>
            <w:tcW w:w="803" w:type="dxa"/>
          </w:tcPr>
          <w:p w14:paraId="7B798659" w14:textId="20D1C193" w:rsidR="00AA4417" w:rsidRPr="001F5B24" w:rsidRDefault="00C91D75" w:rsidP="00E27AE1">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53</w:t>
            </w:r>
          </w:p>
        </w:tc>
      </w:tr>
    </w:tbl>
    <w:p w14:paraId="55036AD1" w14:textId="77777777" w:rsidR="0099790C" w:rsidRDefault="0099790C" w:rsidP="009672A8">
      <w:pPr>
        <w:jc w:val="both"/>
        <w:rPr>
          <w:rFonts w:ascii="Times New Roman" w:hAnsi="Times New Roman" w:cs="Times New Roman"/>
          <w:sz w:val="24"/>
          <w:szCs w:val="24"/>
        </w:rPr>
      </w:pPr>
    </w:p>
    <w:p w14:paraId="7D13B479" w14:textId="77777777" w:rsidR="00D828D5" w:rsidRDefault="00D828D5" w:rsidP="00D828D5">
      <w:pPr>
        <w:jc w:val="both"/>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 xml:space="preserve">Zip code prevalence </w:t>
      </w:r>
    </w:p>
    <w:p w14:paraId="76A913E5" w14:textId="0AC35626" w:rsidR="00D823A2" w:rsidRDefault="003B4C28" w:rsidP="009672A8">
      <w:pPr>
        <w:jc w:val="both"/>
        <w:rPr>
          <w:rFonts w:ascii="Times New Roman" w:hAnsi="Times New Roman" w:cs="Times New Roman"/>
          <w:sz w:val="24"/>
          <w:szCs w:val="24"/>
        </w:rPr>
      </w:pPr>
      <w:r>
        <w:rPr>
          <w:rFonts w:ascii="Times New Roman" w:hAnsi="Times New Roman" w:cs="Times New Roman"/>
          <w:sz w:val="24"/>
          <w:szCs w:val="24"/>
        </w:rPr>
        <w:t>Of the individuals assessed for ORAS-PAT, the majority live</w:t>
      </w:r>
      <w:r w:rsidR="00613B10">
        <w:rPr>
          <w:rFonts w:ascii="Times New Roman" w:hAnsi="Times New Roman" w:cs="Times New Roman"/>
          <w:sz w:val="24"/>
          <w:szCs w:val="24"/>
        </w:rPr>
        <w:t>d</w:t>
      </w:r>
      <w:r>
        <w:rPr>
          <w:rFonts w:ascii="Times New Roman" w:hAnsi="Times New Roman" w:cs="Times New Roman"/>
          <w:sz w:val="24"/>
          <w:szCs w:val="24"/>
        </w:rPr>
        <w:t xml:space="preserve"> in the following zip codes: 94533(2</w:t>
      </w:r>
      <w:r w:rsidR="00A336D2">
        <w:rPr>
          <w:rFonts w:ascii="Times New Roman" w:hAnsi="Times New Roman" w:cs="Times New Roman"/>
          <w:sz w:val="24"/>
          <w:szCs w:val="24"/>
        </w:rPr>
        <w:t>1</w:t>
      </w:r>
      <w:r>
        <w:rPr>
          <w:rFonts w:ascii="Times New Roman" w:hAnsi="Times New Roman" w:cs="Times New Roman"/>
          <w:sz w:val="24"/>
          <w:szCs w:val="24"/>
        </w:rPr>
        <w:t>%), 94590 (</w:t>
      </w:r>
      <w:r w:rsidR="00A336D2">
        <w:rPr>
          <w:rFonts w:ascii="Times New Roman" w:hAnsi="Times New Roman" w:cs="Times New Roman"/>
          <w:sz w:val="24"/>
          <w:szCs w:val="24"/>
        </w:rPr>
        <w:t>9.32</w:t>
      </w:r>
      <w:r>
        <w:rPr>
          <w:rFonts w:ascii="Times New Roman" w:hAnsi="Times New Roman" w:cs="Times New Roman"/>
          <w:sz w:val="24"/>
          <w:szCs w:val="24"/>
        </w:rPr>
        <w:t>%),95687 (</w:t>
      </w:r>
      <w:r w:rsidR="00A336D2">
        <w:rPr>
          <w:rFonts w:ascii="Times New Roman" w:hAnsi="Times New Roman" w:cs="Times New Roman"/>
          <w:sz w:val="24"/>
          <w:szCs w:val="24"/>
        </w:rPr>
        <w:t>8.6</w:t>
      </w:r>
      <w:r>
        <w:rPr>
          <w:rFonts w:ascii="Times New Roman" w:hAnsi="Times New Roman" w:cs="Times New Roman"/>
          <w:sz w:val="24"/>
          <w:szCs w:val="24"/>
        </w:rPr>
        <w:t>%)</w:t>
      </w:r>
      <w:r w:rsidR="002D42F8">
        <w:rPr>
          <w:rFonts w:ascii="Times New Roman" w:hAnsi="Times New Roman" w:cs="Times New Roman"/>
          <w:sz w:val="24"/>
          <w:szCs w:val="24"/>
        </w:rPr>
        <w:t>, 94591 (5%), and 94585 (5%)</w:t>
      </w:r>
      <w:r>
        <w:rPr>
          <w:rFonts w:ascii="Times New Roman" w:hAnsi="Times New Roman" w:cs="Times New Roman"/>
          <w:sz w:val="24"/>
          <w:szCs w:val="24"/>
        </w:rPr>
        <w:t xml:space="preserve">. Likewise, of those individuals assessed who are released on pretrial supervision </w:t>
      </w:r>
      <w:r w:rsidR="007C3E62">
        <w:rPr>
          <w:rFonts w:ascii="Times New Roman" w:hAnsi="Times New Roman" w:cs="Times New Roman"/>
          <w:sz w:val="24"/>
          <w:szCs w:val="24"/>
        </w:rPr>
        <w:t xml:space="preserve">or ORR </w:t>
      </w:r>
      <w:r>
        <w:rPr>
          <w:rFonts w:ascii="Times New Roman" w:hAnsi="Times New Roman" w:cs="Times New Roman"/>
          <w:sz w:val="24"/>
          <w:szCs w:val="24"/>
        </w:rPr>
        <w:t>live in the zip codes 94533 (</w:t>
      </w:r>
      <w:r w:rsidR="004C7101">
        <w:rPr>
          <w:rFonts w:ascii="Times New Roman" w:hAnsi="Times New Roman" w:cs="Times New Roman"/>
          <w:sz w:val="24"/>
          <w:szCs w:val="24"/>
        </w:rPr>
        <w:t>20</w:t>
      </w:r>
      <w:r>
        <w:rPr>
          <w:rFonts w:ascii="Times New Roman" w:hAnsi="Times New Roman" w:cs="Times New Roman"/>
          <w:sz w:val="24"/>
          <w:szCs w:val="24"/>
        </w:rPr>
        <w:t>%), 94590 (1</w:t>
      </w:r>
      <w:r w:rsidR="004C7101">
        <w:rPr>
          <w:rFonts w:ascii="Times New Roman" w:hAnsi="Times New Roman" w:cs="Times New Roman"/>
          <w:sz w:val="24"/>
          <w:szCs w:val="24"/>
        </w:rPr>
        <w:t>0</w:t>
      </w:r>
      <w:r>
        <w:rPr>
          <w:rFonts w:ascii="Times New Roman" w:hAnsi="Times New Roman" w:cs="Times New Roman"/>
          <w:sz w:val="24"/>
          <w:szCs w:val="24"/>
        </w:rPr>
        <w:t>%), 95687 (12%)</w:t>
      </w:r>
      <w:r w:rsidR="00B57BA4">
        <w:rPr>
          <w:rFonts w:ascii="Times New Roman" w:hAnsi="Times New Roman" w:cs="Times New Roman"/>
          <w:sz w:val="24"/>
          <w:szCs w:val="24"/>
        </w:rPr>
        <w:t xml:space="preserve">, </w:t>
      </w:r>
      <w:r w:rsidR="004C7101">
        <w:rPr>
          <w:rFonts w:ascii="Times New Roman" w:hAnsi="Times New Roman" w:cs="Times New Roman"/>
          <w:sz w:val="24"/>
          <w:szCs w:val="24"/>
        </w:rPr>
        <w:t xml:space="preserve">and </w:t>
      </w:r>
      <w:r w:rsidR="00CA24EE">
        <w:rPr>
          <w:rFonts w:ascii="Times New Roman" w:hAnsi="Times New Roman" w:cs="Times New Roman"/>
          <w:sz w:val="24"/>
          <w:szCs w:val="24"/>
        </w:rPr>
        <w:t xml:space="preserve">94585 (6%). </w:t>
      </w:r>
    </w:p>
    <w:p w14:paraId="42C44CFF" w14:textId="7FCAAF8B" w:rsidR="00590022" w:rsidRPr="00E61F97" w:rsidRDefault="00590022" w:rsidP="009672A8">
      <w:pPr>
        <w:jc w:val="both"/>
        <w:rPr>
          <w:rFonts w:ascii="Times New Roman" w:hAnsi="Times New Roman" w:cs="Times New Roman"/>
          <w:sz w:val="24"/>
          <w:szCs w:val="24"/>
        </w:rPr>
      </w:pPr>
    </w:p>
    <w:p w14:paraId="1DBD70B1" w14:textId="07990042" w:rsidR="00590022" w:rsidRPr="00E61F97" w:rsidRDefault="00590022" w:rsidP="009672A8">
      <w:pPr>
        <w:jc w:val="both"/>
        <w:rPr>
          <w:rFonts w:ascii="Times New Roman" w:hAnsi="Times New Roman" w:cs="Times New Roman"/>
          <w:sz w:val="24"/>
          <w:szCs w:val="24"/>
        </w:rPr>
      </w:pPr>
    </w:p>
    <w:p w14:paraId="13ABA22C" w14:textId="3A791C52" w:rsidR="00590022" w:rsidRPr="00E61F97" w:rsidRDefault="00590022" w:rsidP="009672A8">
      <w:pPr>
        <w:jc w:val="both"/>
        <w:rPr>
          <w:rFonts w:ascii="Times New Roman" w:hAnsi="Times New Roman" w:cs="Times New Roman"/>
          <w:sz w:val="24"/>
          <w:szCs w:val="24"/>
        </w:rPr>
      </w:pPr>
    </w:p>
    <w:p w14:paraId="53404151" w14:textId="63169DDC" w:rsidR="00590022" w:rsidRPr="00E61F97" w:rsidRDefault="00590022" w:rsidP="009672A8">
      <w:pPr>
        <w:jc w:val="both"/>
        <w:rPr>
          <w:rFonts w:ascii="Times New Roman" w:hAnsi="Times New Roman" w:cs="Times New Roman"/>
          <w:sz w:val="24"/>
          <w:szCs w:val="24"/>
        </w:rPr>
      </w:pPr>
    </w:p>
    <w:p w14:paraId="627E68BC" w14:textId="08FDFDE6" w:rsidR="00590022" w:rsidRPr="00E61F97" w:rsidRDefault="00590022" w:rsidP="009672A8">
      <w:pPr>
        <w:jc w:val="both"/>
        <w:rPr>
          <w:rFonts w:ascii="Times New Roman" w:hAnsi="Times New Roman" w:cs="Times New Roman"/>
          <w:sz w:val="24"/>
          <w:szCs w:val="24"/>
        </w:rPr>
      </w:pPr>
    </w:p>
    <w:p w14:paraId="13021B27" w14:textId="52D85C4B" w:rsidR="00361181" w:rsidRPr="00E61F97" w:rsidRDefault="00361181" w:rsidP="009672A8">
      <w:pPr>
        <w:jc w:val="both"/>
        <w:rPr>
          <w:rFonts w:ascii="Times New Roman" w:hAnsi="Times New Roman" w:cs="Times New Roman"/>
          <w:sz w:val="24"/>
          <w:szCs w:val="24"/>
        </w:rPr>
      </w:pPr>
    </w:p>
    <w:p w14:paraId="51597AC4" w14:textId="70C7A304" w:rsidR="00361181" w:rsidRPr="00E61F97" w:rsidRDefault="00361181" w:rsidP="009672A8">
      <w:pPr>
        <w:jc w:val="both"/>
        <w:rPr>
          <w:rFonts w:ascii="Times New Roman" w:hAnsi="Times New Roman" w:cs="Times New Roman"/>
          <w:sz w:val="24"/>
          <w:szCs w:val="24"/>
        </w:rPr>
      </w:pPr>
    </w:p>
    <w:p w14:paraId="35C5CD49" w14:textId="006134AD" w:rsidR="00361181" w:rsidRPr="00E61F97" w:rsidRDefault="00361181" w:rsidP="009672A8">
      <w:pPr>
        <w:jc w:val="both"/>
        <w:rPr>
          <w:rFonts w:ascii="Times New Roman" w:hAnsi="Times New Roman" w:cs="Times New Roman"/>
          <w:sz w:val="24"/>
          <w:szCs w:val="24"/>
        </w:rPr>
      </w:pPr>
    </w:p>
    <w:p w14:paraId="2C2E8B71" w14:textId="10A8498B" w:rsidR="00361181" w:rsidRPr="00E61F97" w:rsidRDefault="00361181" w:rsidP="009672A8">
      <w:pPr>
        <w:jc w:val="both"/>
        <w:rPr>
          <w:rFonts w:ascii="Times New Roman" w:hAnsi="Times New Roman" w:cs="Times New Roman"/>
          <w:sz w:val="24"/>
          <w:szCs w:val="24"/>
        </w:rPr>
      </w:pPr>
    </w:p>
    <w:p w14:paraId="231A130B" w14:textId="3A5953A7" w:rsidR="00361181" w:rsidRPr="00E61F97" w:rsidRDefault="00361181" w:rsidP="009672A8">
      <w:pPr>
        <w:jc w:val="both"/>
        <w:rPr>
          <w:rFonts w:ascii="Times New Roman" w:hAnsi="Times New Roman" w:cs="Times New Roman"/>
          <w:sz w:val="24"/>
          <w:szCs w:val="24"/>
        </w:rPr>
      </w:pPr>
    </w:p>
    <w:p w14:paraId="0FEB1286" w14:textId="483264E3" w:rsidR="00361181" w:rsidRPr="00E61F97" w:rsidRDefault="00361181" w:rsidP="009672A8">
      <w:pPr>
        <w:jc w:val="both"/>
        <w:rPr>
          <w:rFonts w:ascii="Times New Roman" w:hAnsi="Times New Roman" w:cs="Times New Roman"/>
          <w:sz w:val="24"/>
          <w:szCs w:val="24"/>
        </w:rPr>
      </w:pPr>
    </w:p>
    <w:p w14:paraId="6CB7CB4D" w14:textId="4614B525" w:rsidR="00E61F97" w:rsidRDefault="00E61F97" w:rsidP="00E61F97">
      <w:pPr>
        <w:jc w:val="center"/>
        <w:rPr>
          <w:rFonts w:ascii="Times New Roman" w:hAnsi="Times New Roman" w:cs="Times New Roman"/>
          <w:color w:val="4472C4" w:themeColor="accent1"/>
          <w:sz w:val="72"/>
          <w:szCs w:val="72"/>
        </w:rPr>
      </w:pPr>
    </w:p>
    <w:p w14:paraId="17233211" w14:textId="77777777" w:rsidR="00E61F97" w:rsidRDefault="00E61F97" w:rsidP="00E61F97">
      <w:pPr>
        <w:jc w:val="center"/>
        <w:rPr>
          <w:rFonts w:ascii="Times New Roman" w:hAnsi="Times New Roman" w:cs="Times New Roman"/>
          <w:color w:val="4472C4" w:themeColor="accent1"/>
          <w:sz w:val="72"/>
          <w:szCs w:val="72"/>
        </w:rPr>
      </w:pPr>
    </w:p>
    <w:p w14:paraId="6AFCB156" w14:textId="5633D43B" w:rsidR="00E61F97" w:rsidRPr="00E61F97" w:rsidRDefault="00E61F97" w:rsidP="00E61F97">
      <w:pPr>
        <w:jc w:val="center"/>
        <w:rPr>
          <w:rFonts w:ascii="Times New Roman" w:hAnsi="Times New Roman" w:cs="Times New Roman"/>
          <w:color w:val="4472C4" w:themeColor="accent1"/>
          <w:sz w:val="72"/>
          <w:szCs w:val="72"/>
        </w:rPr>
      </w:pPr>
      <w:r w:rsidRPr="00E61F97">
        <w:rPr>
          <w:rFonts w:ascii="Times New Roman" w:hAnsi="Times New Roman" w:cs="Times New Roman"/>
          <w:color w:val="4472C4" w:themeColor="accent1"/>
          <w:sz w:val="72"/>
          <w:szCs w:val="72"/>
        </w:rPr>
        <w:t>PART II</w:t>
      </w:r>
    </w:p>
    <w:p w14:paraId="66D71593" w14:textId="43B9FFBB" w:rsidR="001C6252" w:rsidRPr="00E61F97" w:rsidRDefault="00E61F97" w:rsidP="00E61F97">
      <w:pPr>
        <w:jc w:val="center"/>
        <w:rPr>
          <w:rFonts w:ascii="Times New Roman" w:hAnsi="Times New Roman" w:cs="Times New Roman"/>
          <w:color w:val="4472C4" w:themeColor="accent1"/>
          <w:sz w:val="72"/>
          <w:szCs w:val="72"/>
        </w:rPr>
      </w:pPr>
      <w:r w:rsidRPr="00E61F97">
        <w:rPr>
          <w:rFonts w:ascii="Times New Roman" w:eastAsiaTheme="majorEastAsia" w:hAnsi="Times New Roman" w:cs="Times New Roman"/>
          <w:caps/>
          <w:color w:val="4472C4" w:themeColor="accent1"/>
          <w:sz w:val="72"/>
          <w:szCs w:val="72"/>
        </w:rPr>
        <w:t>Pretrial risk assessment Tool Validation report</w:t>
      </w:r>
    </w:p>
    <w:p w14:paraId="5C9EA71F" w14:textId="4D7E25C1" w:rsidR="001C6252" w:rsidRDefault="001C6252" w:rsidP="008D0C7F">
      <w:pPr>
        <w:rPr>
          <w:rFonts w:ascii="Times New Roman" w:hAnsi="Times New Roman" w:cs="Times New Roman"/>
          <w:sz w:val="24"/>
          <w:szCs w:val="24"/>
        </w:rPr>
      </w:pPr>
    </w:p>
    <w:p w14:paraId="7B7B409D" w14:textId="426ACFA1" w:rsidR="001C6252" w:rsidRDefault="001C6252" w:rsidP="008D0C7F">
      <w:pPr>
        <w:rPr>
          <w:rFonts w:ascii="Times New Roman" w:hAnsi="Times New Roman" w:cs="Times New Roman"/>
          <w:sz w:val="24"/>
          <w:szCs w:val="24"/>
        </w:rPr>
      </w:pPr>
    </w:p>
    <w:p w14:paraId="16AC326D" w14:textId="67173864" w:rsidR="001C6252" w:rsidRDefault="001C6252" w:rsidP="008D0C7F">
      <w:pPr>
        <w:rPr>
          <w:rFonts w:ascii="Times New Roman" w:hAnsi="Times New Roman" w:cs="Times New Roman"/>
          <w:sz w:val="24"/>
          <w:szCs w:val="24"/>
        </w:rPr>
      </w:pPr>
    </w:p>
    <w:p w14:paraId="00DB4865" w14:textId="77750C07" w:rsidR="001C6252" w:rsidRDefault="001C6252" w:rsidP="008D0C7F">
      <w:pPr>
        <w:rPr>
          <w:rFonts w:ascii="Times New Roman" w:hAnsi="Times New Roman" w:cs="Times New Roman"/>
          <w:sz w:val="24"/>
          <w:szCs w:val="24"/>
        </w:rPr>
      </w:pPr>
    </w:p>
    <w:p w14:paraId="605B515E" w14:textId="2A4D6D06" w:rsidR="001C6252" w:rsidRDefault="001C6252" w:rsidP="008D0C7F">
      <w:pPr>
        <w:rPr>
          <w:rFonts w:ascii="Times New Roman" w:hAnsi="Times New Roman" w:cs="Times New Roman"/>
          <w:sz w:val="24"/>
          <w:szCs w:val="24"/>
        </w:rPr>
      </w:pPr>
    </w:p>
    <w:p w14:paraId="775C4BE7" w14:textId="2AD8DD1F" w:rsidR="001C6252" w:rsidRDefault="001C6252" w:rsidP="008D0C7F">
      <w:pPr>
        <w:rPr>
          <w:rFonts w:ascii="Times New Roman" w:hAnsi="Times New Roman" w:cs="Times New Roman"/>
          <w:sz w:val="24"/>
          <w:szCs w:val="24"/>
        </w:rPr>
      </w:pPr>
    </w:p>
    <w:p w14:paraId="5CA7C002" w14:textId="2A7DED16" w:rsidR="001C6252" w:rsidRDefault="001C6252" w:rsidP="008D0C7F">
      <w:pPr>
        <w:rPr>
          <w:rFonts w:ascii="Times New Roman" w:hAnsi="Times New Roman" w:cs="Times New Roman"/>
          <w:sz w:val="24"/>
          <w:szCs w:val="24"/>
        </w:rPr>
      </w:pPr>
    </w:p>
    <w:p w14:paraId="3BFD2F19" w14:textId="7B049E35" w:rsidR="001C6252" w:rsidRDefault="001C6252" w:rsidP="008D0C7F">
      <w:pPr>
        <w:rPr>
          <w:rFonts w:ascii="Times New Roman" w:hAnsi="Times New Roman" w:cs="Times New Roman"/>
          <w:sz w:val="24"/>
          <w:szCs w:val="24"/>
        </w:rPr>
      </w:pPr>
    </w:p>
    <w:p w14:paraId="7B364612" w14:textId="6C2B1340" w:rsidR="001C6252" w:rsidRDefault="001C6252" w:rsidP="008D0C7F">
      <w:pPr>
        <w:rPr>
          <w:rFonts w:ascii="Times New Roman" w:hAnsi="Times New Roman" w:cs="Times New Roman"/>
          <w:sz w:val="24"/>
          <w:szCs w:val="24"/>
        </w:rPr>
      </w:pPr>
    </w:p>
    <w:p w14:paraId="5209EBE5" w14:textId="0040808A" w:rsidR="001C6252" w:rsidRDefault="001C6252" w:rsidP="008D0C7F">
      <w:pPr>
        <w:rPr>
          <w:rFonts w:ascii="Times New Roman" w:hAnsi="Times New Roman" w:cs="Times New Roman"/>
          <w:sz w:val="24"/>
          <w:szCs w:val="24"/>
        </w:rPr>
      </w:pPr>
    </w:p>
    <w:p w14:paraId="458FEB33" w14:textId="77777777" w:rsidR="00DD379B" w:rsidRDefault="00DD379B" w:rsidP="008D0C7F">
      <w:pPr>
        <w:rPr>
          <w:rFonts w:ascii="Times New Roman" w:hAnsi="Times New Roman" w:cs="Times New Roman"/>
          <w:sz w:val="24"/>
          <w:szCs w:val="24"/>
        </w:rPr>
      </w:pPr>
    </w:p>
    <w:p w14:paraId="5DC35549" w14:textId="77777777" w:rsidR="00174B11" w:rsidRDefault="00174B11" w:rsidP="008D0C7F">
      <w:pPr>
        <w:rPr>
          <w:rFonts w:ascii="Times New Roman" w:hAnsi="Times New Roman" w:cs="Times New Roman"/>
          <w:sz w:val="24"/>
          <w:szCs w:val="24"/>
        </w:rPr>
      </w:pPr>
    </w:p>
    <w:p w14:paraId="69E4A78C" w14:textId="77777777" w:rsidR="009669B4" w:rsidRPr="003002C1" w:rsidRDefault="009669B4" w:rsidP="009669B4">
      <w:pPr>
        <w:pStyle w:val="Content"/>
        <w:rPr>
          <w:rFonts w:ascii="Times New Roman" w:hAnsi="Times New Roman" w:cs="Times New Roman"/>
          <w:b/>
          <w:bCs/>
          <w:color w:val="4472C4" w:themeColor="accent1"/>
          <w:sz w:val="24"/>
          <w:szCs w:val="24"/>
        </w:rPr>
      </w:pPr>
      <w:r w:rsidRPr="003002C1">
        <w:rPr>
          <w:rFonts w:ascii="Times New Roman" w:hAnsi="Times New Roman" w:cs="Times New Roman"/>
          <w:b/>
          <w:bCs/>
          <w:color w:val="4472C4" w:themeColor="accent1"/>
          <w:sz w:val="24"/>
          <w:szCs w:val="24"/>
        </w:rPr>
        <w:lastRenderedPageBreak/>
        <w:t>Data</w:t>
      </w:r>
    </w:p>
    <w:p w14:paraId="03FC8C71" w14:textId="3A0CB73C" w:rsidR="009669B4" w:rsidRDefault="009669B4" w:rsidP="009669B4">
      <w:pPr>
        <w:pStyle w:val="Content"/>
        <w:jc w:val="both"/>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For this report, the </w:t>
      </w:r>
      <w:r w:rsidR="005379B9">
        <w:rPr>
          <w:rFonts w:ascii="Times New Roman" w:hAnsi="Times New Roman" w:cs="Times New Roman"/>
          <w:color w:val="auto"/>
          <w:sz w:val="24"/>
          <w:szCs w:val="24"/>
        </w:rPr>
        <w:t>researcher</w:t>
      </w:r>
      <w:r w:rsidRPr="003002C1">
        <w:rPr>
          <w:rFonts w:ascii="Times New Roman" w:hAnsi="Times New Roman" w:cs="Times New Roman"/>
          <w:color w:val="auto"/>
          <w:sz w:val="24"/>
          <w:szCs w:val="24"/>
        </w:rPr>
        <w:t xml:space="preserve"> gathered de-identified information on individuals who received an ORAS-PAT assessment and were released under pretrial supervision (n=160) in 2019 and 2020 (n=198).  Although more individuals were released under own recognizance release (ORR), the Solano Probation Department does not collect FTA for that population. Therefore, the tool validation focuses on the pretrial supervision population with FTA, new arrest, and revocation data. Due to COVID-19 implications, </w:t>
      </w:r>
      <w:r w:rsidR="003E79D9">
        <w:rPr>
          <w:rFonts w:ascii="Times New Roman" w:hAnsi="Times New Roman" w:cs="Times New Roman"/>
          <w:color w:val="auto"/>
          <w:sz w:val="24"/>
          <w:szCs w:val="24"/>
        </w:rPr>
        <w:t>the researcher</w:t>
      </w:r>
      <w:r w:rsidRPr="003002C1">
        <w:rPr>
          <w:rFonts w:ascii="Times New Roman" w:hAnsi="Times New Roman" w:cs="Times New Roman"/>
          <w:color w:val="auto"/>
          <w:sz w:val="24"/>
          <w:szCs w:val="24"/>
        </w:rPr>
        <w:t xml:space="preserve"> examined the data per year to account for the impacts of COVID-19. The data in this report included the individual ORAS-PAT risk score, FTA outcomes, race, gender, new misdemeanor or felony arrest, pretrial supervision release, and total revocations, including technical violations. The pretrial sample consisted of individuals released on pretrial supervision by the Court who had a completed pretrial risk assessment on file. </w:t>
      </w:r>
    </w:p>
    <w:p w14:paraId="6615F44F" w14:textId="77777777" w:rsidR="00BD6819" w:rsidRPr="003002C1" w:rsidRDefault="00BD6819" w:rsidP="009669B4">
      <w:pPr>
        <w:pStyle w:val="Content"/>
        <w:jc w:val="both"/>
        <w:rPr>
          <w:rFonts w:ascii="Times New Roman" w:hAnsi="Times New Roman" w:cs="Times New Roman"/>
          <w:color w:val="auto"/>
          <w:sz w:val="24"/>
          <w:szCs w:val="24"/>
        </w:rPr>
      </w:pPr>
    </w:p>
    <w:p w14:paraId="5D715002" w14:textId="77777777" w:rsidR="00BD6819" w:rsidRPr="003002C1" w:rsidRDefault="00BD6819" w:rsidP="00BD6819">
      <w:pPr>
        <w:jc w:val="both"/>
        <w:rPr>
          <w:rFonts w:ascii="Times New Roman" w:hAnsi="Times New Roman" w:cs="Times New Roman"/>
          <w:b/>
          <w:bCs/>
          <w:color w:val="4472C4" w:themeColor="accent1"/>
          <w:sz w:val="24"/>
          <w:szCs w:val="24"/>
        </w:rPr>
      </w:pPr>
      <w:r w:rsidRPr="003002C1">
        <w:rPr>
          <w:rFonts w:ascii="Times New Roman" w:hAnsi="Times New Roman" w:cs="Times New Roman"/>
          <w:b/>
          <w:bCs/>
          <w:color w:val="4472C4" w:themeColor="accent1"/>
          <w:sz w:val="24"/>
          <w:szCs w:val="24"/>
        </w:rPr>
        <w:t>Background</w:t>
      </w:r>
    </w:p>
    <w:p w14:paraId="6476137C" w14:textId="723082E4" w:rsidR="0037764F" w:rsidRDefault="0037764F" w:rsidP="0037764F">
      <w:pPr>
        <w:pStyle w:val="Content"/>
        <w:jc w:val="both"/>
        <w:rPr>
          <w:rFonts w:ascii="Times New Roman" w:eastAsiaTheme="minorHAnsi" w:hAnsi="Times New Roman" w:cs="Times New Roman"/>
          <w:color w:val="auto"/>
          <w:sz w:val="24"/>
          <w:szCs w:val="24"/>
        </w:rPr>
      </w:pPr>
      <w:r w:rsidRPr="0037764F">
        <w:rPr>
          <w:rFonts w:ascii="Times New Roman" w:eastAsiaTheme="minorHAnsi" w:hAnsi="Times New Roman" w:cs="Times New Roman"/>
          <w:color w:val="auto"/>
          <w:sz w:val="24"/>
          <w:szCs w:val="24"/>
        </w:rPr>
        <w:t>Despite the intent of risk assessments to reduce bias, scholars challenge their efficacy. To address these concerns, scholars have empirically tested if an automated tool produces fewer biased outcomes using a logi</w:t>
      </w:r>
      <w:r w:rsidR="004E1947">
        <w:rPr>
          <w:rFonts w:ascii="Times New Roman" w:eastAsiaTheme="minorHAnsi" w:hAnsi="Times New Roman" w:cs="Times New Roman"/>
          <w:color w:val="auto"/>
          <w:sz w:val="24"/>
          <w:szCs w:val="24"/>
        </w:rPr>
        <w:t>stic</w:t>
      </w:r>
      <w:r w:rsidRPr="0037764F">
        <w:rPr>
          <w:rFonts w:ascii="Times New Roman" w:eastAsiaTheme="minorHAnsi" w:hAnsi="Times New Roman" w:cs="Times New Roman"/>
          <w:color w:val="auto"/>
          <w:sz w:val="24"/>
          <w:szCs w:val="24"/>
        </w:rPr>
        <w:t xml:space="preserve"> regression model along with testing for variance among subgroups categories (Dressel &amp; Farid, 2018).  Risk assessment studies have been contested, and some scholars find limited evidence of disparities. For example, Skeem (2016) argues, "the intercept of the relationship between Post Conviction Risk Assessment (PCRA) scores and violent arrest is significantly lower for White than for Black offenders." The state of contention relies on the definition and methods used to test disparate outcomes and bias. Scholars like Skeem argue that bias can be tested by comparing differences in subgroups. Contrary, Chouldechova (2017) argues that fair prediction can be best studied by testing false positives and false negatives. In this case, a false positive is scored high and predicted to fail but did not fail. In contrast, a false negative is scored low and expected not to fail but failed. Scholars and advocates argue that what should be at the core is the disparate impact that tools can inadvertently create. Disparate impact refers to the evidence that distribution by race or ethnicity varies across categories of the risk assessment instrument and that these individuals with high-risk scores receive a stricter penalty. Disparate impact focuses on the outcome from the risk score. It is a social and ethical concept, not statistical (Chouldechova, 2017).</w:t>
      </w:r>
    </w:p>
    <w:p w14:paraId="1BE24E12" w14:textId="77777777" w:rsidR="00096339" w:rsidRPr="0037764F" w:rsidRDefault="00096339" w:rsidP="0037764F">
      <w:pPr>
        <w:pStyle w:val="Content"/>
        <w:jc w:val="both"/>
        <w:rPr>
          <w:rFonts w:ascii="Times New Roman" w:eastAsiaTheme="minorHAnsi" w:hAnsi="Times New Roman" w:cs="Times New Roman"/>
          <w:color w:val="auto"/>
          <w:sz w:val="24"/>
          <w:szCs w:val="24"/>
        </w:rPr>
      </w:pPr>
    </w:p>
    <w:p w14:paraId="43D4F1A1" w14:textId="4B1C3AC4" w:rsidR="00096339" w:rsidRDefault="0037764F" w:rsidP="0037764F">
      <w:pPr>
        <w:pStyle w:val="Content"/>
        <w:jc w:val="both"/>
        <w:rPr>
          <w:rFonts w:ascii="Times New Roman" w:eastAsiaTheme="minorHAnsi" w:hAnsi="Times New Roman" w:cs="Times New Roman"/>
          <w:color w:val="auto"/>
          <w:sz w:val="24"/>
          <w:szCs w:val="24"/>
        </w:rPr>
      </w:pPr>
      <w:r w:rsidRPr="0037764F">
        <w:rPr>
          <w:rFonts w:ascii="Times New Roman" w:eastAsiaTheme="minorHAnsi" w:hAnsi="Times New Roman" w:cs="Times New Roman"/>
          <w:color w:val="auto"/>
          <w:sz w:val="24"/>
          <w:szCs w:val="24"/>
        </w:rPr>
        <w:t xml:space="preserve">The Ohio Risk Assessment System has been validated by the University of Cincinnati Corrections Institute (UCC) and the Ohio Department of Rehabilitation and Corrections (ODCR).  One of those instruments under the ORAS umbrella is the Pretrial Assessment Tool (PAT). </w:t>
      </w:r>
      <w:r w:rsidR="00096339">
        <w:rPr>
          <w:rFonts w:ascii="Times New Roman" w:eastAsiaTheme="minorHAnsi" w:hAnsi="Times New Roman" w:cs="Times New Roman"/>
          <w:color w:val="auto"/>
          <w:sz w:val="24"/>
          <w:szCs w:val="24"/>
        </w:rPr>
        <w:t xml:space="preserve"> </w:t>
      </w:r>
      <w:r w:rsidRPr="0037764F">
        <w:rPr>
          <w:rFonts w:ascii="Times New Roman" w:eastAsiaTheme="minorHAnsi" w:hAnsi="Times New Roman" w:cs="Times New Roman"/>
          <w:color w:val="auto"/>
          <w:sz w:val="24"/>
          <w:szCs w:val="24"/>
        </w:rPr>
        <w:t xml:space="preserve">The ORAS-PAT concluded that the total score was correlated with outcome (r=.22), suggesting that as the score increases, the likelihood to re-offend or failing to appear increases (Latessa, 2010). Other counties have validated their pretrial assessment tools locally in California through logistic regression and the Receiver Operating Characteristics (ROC) analysis (Barno, Williams, &amp; Nevárez Martínez, 2019; Lovins &amp; Lovin, 2016). The ROC is a probability curve measured by the Area Under the Curve (AUC) to predict the accuracy of false positives with false negatives to determine the tool's </w:t>
      </w:r>
      <w:r w:rsidRPr="0037764F">
        <w:rPr>
          <w:rFonts w:ascii="Times New Roman" w:eastAsiaTheme="minorHAnsi" w:hAnsi="Times New Roman" w:cs="Times New Roman"/>
          <w:color w:val="auto"/>
          <w:sz w:val="24"/>
          <w:szCs w:val="24"/>
        </w:rPr>
        <w:lastRenderedPageBreak/>
        <w:t xml:space="preserve">predictability. Likewise, an AUC score can distinguish between classes where a score of </w:t>
      </w:r>
      <w:r w:rsidR="00BB1FF5">
        <w:rPr>
          <w:rFonts w:ascii="Times New Roman" w:eastAsiaTheme="minorHAnsi" w:hAnsi="Times New Roman" w:cs="Times New Roman"/>
          <w:color w:val="auto"/>
          <w:sz w:val="24"/>
          <w:szCs w:val="24"/>
        </w:rPr>
        <w:t>one</w:t>
      </w:r>
      <w:r w:rsidRPr="0037764F">
        <w:rPr>
          <w:rFonts w:ascii="Times New Roman" w:eastAsiaTheme="minorHAnsi" w:hAnsi="Times New Roman" w:cs="Times New Roman"/>
          <w:color w:val="auto"/>
          <w:sz w:val="24"/>
          <w:szCs w:val="24"/>
        </w:rPr>
        <w:t xml:space="preserve"> indicates a good measure of accuracy, a score of zero indicates the worst measure of separability, and a .5 indicates the model is no better than chance at predicting FTA or new arrest (Rice &amp; Harris, 2005).  Thus, the Area Under the Curve (AUC) was used to compare the predictive accuracy. The AUCs can be read as the following a score of .50 indicates chance prediction, .56 a small predictive effect, .64 a medium predictive effect, .71 a significant predictive effect, and one a perfect prediction (Rice &amp; Harris, 2005). To truly understand how the population and tool behave, the jurisdiction must validate with the local Solano County population. </w:t>
      </w:r>
    </w:p>
    <w:p w14:paraId="3E4C15F6" w14:textId="77777777" w:rsidR="00096339" w:rsidRDefault="00096339" w:rsidP="0037764F">
      <w:pPr>
        <w:pStyle w:val="Content"/>
        <w:jc w:val="both"/>
        <w:rPr>
          <w:rFonts w:ascii="Times New Roman" w:eastAsiaTheme="minorHAnsi" w:hAnsi="Times New Roman" w:cs="Times New Roman"/>
          <w:color w:val="auto"/>
          <w:sz w:val="24"/>
          <w:szCs w:val="24"/>
        </w:rPr>
      </w:pPr>
    </w:p>
    <w:p w14:paraId="3B91C8CB" w14:textId="5B469842" w:rsidR="00CA3863" w:rsidRPr="00096339" w:rsidRDefault="00CA3863" w:rsidP="0037764F">
      <w:pPr>
        <w:pStyle w:val="Content"/>
        <w:jc w:val="both"/>
        <w:rPr>
          <w:rFonts w:ascii="Times New Roman" w:eastAsiaTheme="minorHAnsi" w:hAnsi="Times New Roman" w:cs="Times New Roman"/>
          <w:color w:val="auto"/>
          <w:sz w:val="24"/>
          <w:szCs w:val="24"/>
        </w:rPr>
      </w:pPr>
      <w:r w:rsidRPr="003002C1">
        <w:rPr>
          <w:rFonts w:ascii="Times New Roman" w:hAnsi="Times New Roman" w:cs="Times New Roman"/>
          <w:b/>
          <w:bCs/>
          <w:color w:val="4472C4" w:themeColor="accent1"/>
          <w:sz w:val="24"/>
          <w:szCs w:val="24"/>
        </w:rPr>
        <w:t>Method</w:t>
      </w:r>
    </w:p>
    <w:p w14:paraId="356C55BB" w14:textId="795E71CA" w:rsidR="00CA3863" w:rsidRDefault="00CA3863" w:rsidP="001902E6">
      <w:pPr>
        <w:pStyle w:val="Content"/>
        <w:jc w:val="both"/>
        <w:rPr>
          <w:rFonts w:ascii="Times New Roman" w:hAnsi="Times New Roman" w:cs="Times New Roman"/>
          <w:color w:val="auto"/>
          <w:sz w:val="24"/>
          <w:szCs w:val="24"/>
        </w:rPr>
      </w:pPr>
      <w:r w:rsidRPr="003002C1">
        <w:rPr>
          <w:rFonts w:ascii="Times New Roman" w:hAnsi="Times New Roman" w:cs="Times New Roman"/>
          <w:color w:val="auto"/>
          <w:sz w:val="24"/>
          <w:szCs w:val="24"/>
        </w:rPr>
        <w:t>First, the report focuses on reporting descriptive statistics on individual-level information and percentage for gender, race, risk score, and risk level. A logistic regression was run to validate</w:t>
      </w:r>
      <w:r w:rsidRPr="003002C1">
        <w:rPr>
          <w:rStyle w:val="FootnoteReference"/>
          <w:rFonts w:ascii="Times New Roman" w:hAnsi="Times New Roman" w:cs="Times New Roman"/>
          <w:color w:val="auto"/>
          <w:sz w:val="24"/>
          <w:szCs w:val="24"/>
        </w:rPr>
        <w:footnoteReference w:id="9"/>
      </w:r>
      <w:r w:rsidRPr="003002C1">
        <w:rPr>
          <w:rFonts w:ascii="Times New Roman" w:hAnsi="Times New Roman" w:cs="Times New Roman"/>
          <w:color w:val="auto"/>
          <w:sz w:val="24"/>
          <w:szCs w:val="24"/>
        </w:rPr>
        <w:t xml:space="preserve"> ORAS-PAT capacity to predict the likelihood of FTA accurately among the Solano population. Additional logistic regression models were conducted to differentiate if the tool also predicts new arrest and total revocations. For the total revocations, that is inclusive of FTA, new arrest, and technical violations.  Specifically, </w:t>
      </w:r>
      <w:r w:rsidR="00A7471A">
        <w:rPr>
          <w:rFonts w:ascii="Times New Roman" w:hAnsi="Times New Roman" w:cs="Times New Roman"/>
          <w:color w:val="auto"/>
          <w:sz w:val="24"/>
          <w:szCs w:val="24"/>
        </w:rPr>
        <w:t>the question under review determines if</w:t>
      </w:r>
      <w:r w:rsidRPr="003002C1">
        <w:rPr>
          <w:rFonts w:ascii="Times New Roman" w:hAnsi="Times New Roman" w:cs="Times New Roman"/>
          <w:color w:val="auto"/>
          <w:sz w:val="24"/>
          <w:szCs w:val="24"/>
        </w:rPr>
        <w:t xml:space="preserve"> higher scores accurately predict FTA, new misdemeanor, or felony arrest. </w:t>
      </w:r>
      <w:r w:rsidR="008D25DF">
        <w:rPr>
          <w:rFonts w:ascii="Times New Roman" w:hAnsi="Times New Roman" w:cs="Times New Roman"/>
          <w:color w:val="auto"/>
          <w:sz w:val="24"/>
          <w:szCs w:val="24"/>
        </w:rPr>
        <w:t xml:space="preserve">Probation </w:t>
      </w:r>
      <w:r w:rsidRPr="003002C1">
        <w:rPr>
          <w:rFonts w:ascii="Times New Roman" w:hAnsi="Times New Roman" w:cs="Times New Roman"/>
          <w:color w:val="auto"/>
          <w:sz w:val="24"/>
          <w:szCs w:val="24"/>
        </w:rPr>
        <w:t>only collects data on FTA for those who are on pretrial supervision</w:t>
      </w:r>
      <w:r w:rsidR="00A7471A">
        <w:rPr>
          <w:rFonts w:ascii="Times New Roman" w:hAnsi="Times New Roman" w:cs="Times New Roman"/>
          <w:color w:val="auto"/>
          <w:sz w:val="24"/>
          <w:szCs w:val="24"/>
        </w:rPr>
        <w:t xml:space="preserve"> not for those individuals released on ORR by the court. </w:t>
      </w:r>
    </w:p>
    <w:p w14:paraId="441BD6CE" w14:textId="77777777" w:rsidR="001902E6" w:rsidRPr="001902E6" w:rsidRDefault="001902E6" w:rsidP="001902E6">
      <w:pPr>
        <w:pStyle w:val="Content"/>
        <w:jc w:val="both"/>
        <w:rPr>
          <w:rFonts w:ascii="Times New Roman" w:hAnsi="Times New Roman" w:cs="Times New Roman"/>
          <w:color w:val="auto"/>
          <w:sz w:val="24"/>
          <w:szCs w:val="24"/>
        </w:rPr>
      </w:pPr>
    </w:p>
    <w:p w14:paraId="1821AC9F" w14:textId="77777777" w:rsidR="00CA3863" w:rsidRPr="003002C1" w:rsidRDefault="00CA3863" w:rsidP="00CA3863">
      <w:pPr>
        <w:pStyle w:val="Content"/>
        <w:rPr>
          <w:rFonts w:ascii="Times New Roman" w:hAnsi="Times New Roman" w:cs="Times New Roman"/>
          <w:b/>
          <w:bCs/>
          <w:color w:val="4472C4" w:themeColor="accent1"/>
          <w:sz w:val="24"/>
          <w:szCs w:val="24"/>
        </w:rPr>
      </w:pPr>
      <w:r w:rsidRPr="003002C1">
        <w:rPr>
          <w:rFonts w:ascii="Times New Roman" w:hAnsi="Times New Roman" w:cs="Times New Roman"/>
          <w:b/>
          <w:bCs/>
          <w:color w:val="4472C4" w:themeColor="accent1"/>
          <w:sz w:val="24"/>
          <w:szCs w:val="24"/>
        </w:rPr>
        <w:t xml:space="preserve">2019 Tool Validation </w:t>
      </w:r>
    </w:p>
    <w:p w14:paraId="5EE80BDA" w14:textId="3CA1B4A8" w:rsidR="00CA3863" w:rsidRDefault="00CA3863" w:rsidP="00CA3863">
      <w:pPr>
        <w:pStyle w:val="Content"/>
        <w:jc w:val="both"/>
        <w:rPr>
          <w:rFonts w:ascii="Times New Roman" w:hAnsi="Times New Roman" w:cs="Times New Roman"/>
          <w:color w:val="auto"/>
          <w:sz w:val="24"/>
          <w:szCs w:val="24"/>
        </w:rPr>
      </w:pPr>
      <w:r w:rsidRPr="00DD5E73">
        <w:rPr>
          <w:rFonts w:ascii="Times New Roman" w:hAnsi="Times New Roman" w:cs="Times New Roman"/>
          <w:color w:val="auto"/>
          <w:sz w:val="24"/>
          <w:szCs w:val="24"/>
        </w:rPr>
        <w:t xml:space="preserve">The 2019 data consisted of n=160, of which 76% </w:t>
      </w:r>
      <w:r w:rsidR="006125DA">
        <w:rPr>
          <w:rFonts w:ascii="Times New Roman" w:hAnsi="Times New Roman" w:cs="Times New Roman"/>
          <w:color w:val="auto"/>
          <w:sz w:val="24"/>
          <w:szCs w:val="24"/>
        </w:rPr>
        <w:t>were</w:t>
      </w:r>
      <w:r w:rsidRPr="00DD5E73">
        <w:rPr>
          <w:rFonts w:ascii="Times New Roman" w:hAnsi="Times New Roman" w:cs="Times New Roman"/>
          <w:color w:val="auto"/>
          <w:sz w:val="24"/>
          <w:szCs w:val="24"/>
        </w:rPr>
        <w:t xml:space="preserve"> male, and approximately 24% </w:t>
      </w:r>
      <w:r w:rsidR="006125DA">
        <w:rPr>
          <w:rFonts w:ascii="Times New Roman" w:hAnsi="Times New Roman" w:cs="Times New Roman"/>
          <w:color w:val="auto"/>
          <w:sz w:val="24"/>
          <w:szCs w:val="24"/>
        </w:rPr>
        <w:t>were</w:t>
      </w:r>
      <w:r w:rsidRPr="00DD5E73">
        <w:rPr>
          <w:rFonts w:ascii="Times New Roman" w:hAnsi="Times New Roman" w:cs="Times New Roman"/>
          <w:color w:val="auto"/>
          <w:sz w:val="24"/>
          <w:szCs w:val="24"/>
        </w:rPr>
        <w:t xml:space="preserve"> female. The </w:t>
      </w:r>
      <w:r w:rsidR="00911E85">
        <w:rPr>
          <w:rFonts w:ascii="Times New Roman" w:hAnsi="Times New Roman" w:cs="Times New Roman"/>
          <w:color w:val="auto"/>
          <w:sz w:val="24"/>
          <w:szCs w:val="24"/>
        </w:rPr>
        <w:t xml:space="preserve">sample </w:t>
      </w:r>
      <w:r w:rsidRPr="00DD5E73">
        <w:rPr>
          <w:rFonts w:ascii="Times New Roman" w:hAnsi="Times New Roman" w:cs="Times New Roman"/>
          <w:color w:val="auto"/>
          <w:sz w:val="24"/>
          <w:szCs w:val="24"/>
        </w:rPr>
        <w:t xml:space="preserve">race composition </w:t>
      </w:r>
      <w:r w:rsidR="00911E85">
        <w:rPr>
          <w:rFonts w:ascii="Times New Roman" w:hAnsi="Times New Roman" w:cs="Times New Roman"/>
          <w:color w:val="auto"/>
          <w:sz w:val="24"/>
          <w:szCs w:val="24"/>
        </w:rPr>
        <w:t>was</w:t>
      </w:r>
      <w:r w:rsidRPr="00DD5E73">
        <w:rPr>
          <w:rFonts w:ascii="Times New Roman" w:hAnsi="Times New Roman" w:cs="Times New Roman"/>
          <w:color w:val="auto"/>
          <w:sz w:val="24"/>
          <w:szCs w:val="24"/>
        </w:rPr>
        <w:t xml:space="preserve"> 47% Black, 32% white, 17</w:t>
      </w:r>
      <w:r w:rsidR="00911E85" w:rsidRPr="00DD5E73">
        <w:rPr>
          <w:rFonts w:ascii="Times New Roman" w:hAnsi="Times New Roman" w:cs="Times New Roman"/>
          <w:color w:val="auto"/>
          <w:sz w:val="24"/>
          <w:szCs w:val="24"/>
        </w:rPr>
        <w:t>%</w:t>
      </w:r>
      <w:r w:rsidR="00911E85">
        <w:rPr>
          <w:rFonts w:ascii="Times New Roman" w:hAnsi="Times New Roman" w:cs="Times New Roman"/>
          <w:color w:val="auto"/>
          <w:sz w:val="24"/>
          <w:szCs w:val="24"/>
        </w:rPr>
        <w:t xml:space="preserve"> </w:t>
      </w:r>
      <w:r w:rsidR="00911E85" w:rsidRPr="00DD5E73">
        <w:rPr>
          <w:rFonts w:ascii="Times New Roman" w:hAnsi="Times New Roman" w:cs="Times New Roman"/>
          <w:color w:val="auto"/>
          <w:sz w:val="24"/>
          <w:szCs w:val="24"/>
        </w:rPr>
        <w:t>Latine</w:t>
      </w:r>
      <w:r w:rsidRPr="00DD5E73">
        <w:rPr>
          <w:rFonts w:ascii="Times New Roman" w:hAnsi="Times New Roman" w:cs="Times New Roman"/>
          <w:color w:val="auto"/>
          <w:sz w:val="24"/>
          <w:szCs w:val="24"/>
        </w:rPr>
        <w:t xml:space="preserve">, </w:t>
      </w:r>
      <w:r w:rsidR="00911E85">
        <w:rPr>
          <w:rFonts w:ascii="Times New Roman" w:hAnsi="Times New Roman" w:cs="Times New Roman"/>
          <w:color w:val="auto"/>
          <w:sz w:val="24"/>
          <w:szCs w:val="24"/>
        </w:rPr>
        <w:t xml:space="preserve">less than </w:t>
      </w:r>
      <w:r w:rsidR="007C0ABA">
        <w:rPr>
          <w:rFonts w:ascii="Times New Roman" w:hAnsi="Times New Roman" w:cs="Times New Roman"/>
          <w:color w:val="auto"/>
          <w:sz w:val="24"/>
          <w:szCs w:val="24"/>
        </w:rPr>
        <w:t>three percent</w:t>
      </w:r>
      <w:r w:rsidRPr="00DD5E73">
        <w:rPr>
          <w:rFonts w:ascii="Times New Roman" w:hAnsi="Times New Roman" w:cs="Times New Roman"/>
          <w:color w:val="auto"/>
          <w:sz w:val="24"/>
          <w:szCs w:val="24"/>
        </w:rPr>
        <w:t xml:space="preserve"> Asian, and </w:t>
      </w:r>
      <w:r w:rsidR="007C0ABA">
        <w:rPr>
          <w:rFonts w:ascii="Times New Roman" w:hAnsi="Times New Roman" w:cs="Times New Roman"/>
          <w:color w:val="auto"/>
          <w:sz w:val="24"/>
          <w:szCs w:val="24"/>
        </w:rPr>
        <w:t>one percent</w:t>
      </w:r>
      <w:r w:rsidRPr="00DD5E73">
        <w:rPr>
          <w:rFonts w:ascii="Times New Roman" w:hAnsi="Times New Roman" w:cs="Times New Roman"/>
          <w:color w:val="auto"/>
          <w:sz w:val="24"/>
          <w:szCs w:val="24"/>
        </w:rPr>
        <w:t xml:space="preserve"> other. Although in the general demographics of 2019 data, there </w:t>
      </w:r>
      <w:r w:rsidR="00911E85">
        <w:rPr>
          <w:rFonts w:ascii="Times New Roman" w:hAnsi="Times New Roman" w:cs="Times New Roman"/>
          <w:color w:val="auto"/>
          <w:sz w:val="24"/>
          <w:szCs w:val="24"/>
        </w:rPr>
        <w:t>was</w:t>
      </w:r>
      <w:r w:rsidRPr="00DD5E73">
        <w:rPr>
          <w:rFonts w:ascii="Times New Roman" w:hAnsi="Times New Roman" w:cs="Times New Roman"/>
          <w:color w:val="auto"/>
          <w:sz w:val="24"/>
          <w:szCs w:val="24"/>
        </w:rPr>
        <w:t xml:space="preserve"> a record of Native Americans, none </w:t>
      </w:r>
      <w:r w:rsidR="00164CB0">
        <w:rPr>
          <w:rFonts w:ascii="Times New Roman" w:hAnsi="Times New Roman" w:cs="Times New Roman"/>
          <w:color w:val="auto"/>
          <w:sz w:val="24"/>
          <w:szCs w:val="24"/>
        </w:rPr>
        <w:t xml:space="preserve">were </w:t>
      </w:r>
      <w:r w:rsidRPr="00DD5E73">
        <w:rPr>
          <w:rFonts w:ascii="Times New Roman" w:hAnsi="Times New Roman" w:cs="Times New Roman"/>
          <w:color w:val="auto"/>
          <w:sz w:val="24"/>
          <w:szCs w:val="24"/>
        </w:rPr>
        <w:t xml:space="preserve">on pretrial supervision in 2019. </w:t>
      </w:r>
      <w:r w:rsidR="0094258A">
        <w:rPr>
          <w:rFonts w:ascii="Times New Roman" w:hAnsi="Times New Roman" w:cs="Times New Roman"/>
          <w:color w:val="auto"/>
          <w:sz w:val="24"/>
          <w:szCs w:val="24"/>
        </w:rPr>
        <w:t>S</w:t>
      </w:r>
      <w:r w:rsidRPr="00DD5E73">
        <w:rPr>
          <w:rFonts w:ascii="Times New Roman" w:hAnsi="Times New Roman" w:cs="Times New Roman"/>
          <w:color w:val="auto"/>
          <w:sz w:val="24"/>
          <w:szCs w:val="24"/>
        </w:rPr>
        <w:t>ome</w:t>
      </w:r>
      <w:r w:rsidR="0094258A">
        <w:rPr>
          <w:rFonts w:ascii="Times New Roman" w:hAnsi="Times New Roman" w:cs="Times New Roman"/>
          <w:color w:val="auto"/>
          <w:sz w:val="24"/>
          <w:szCs w:val="24"/>
        </w:rPr>
        <w:t xml:space="preserve"> may have been</w:t>
      </w:r>
      <w:r w:rsidRPr="00DD5E73">
        <w:rPr>
          <w:rFonts w:ascii="Times New Roman" w:hAnsi="Times New Roman" w:cs="Times New Roman"/>
          <w:color w:val="auto"/>
          <w:sz w:val="24"/>
          <w:szCs w:val="24"/>
        </w:rPr>
        <w:t xml:space="preserve"> released on ORR or bail, but this report does not test the outcomes of individuals on ORR or cash bail release. </w:t>
      </w:r>
      <w:r w:rsidR="00E65A98">
        <w:rPr>
          <w:rFonts w:ascii="Times New Roman" w:hAnsi="Times New Roman" w:cs="Times New Roman"/>
          <w:color w:val="auto"/>
          <w:sz w:val="24"/>
          <w:szCs w:val="24"/>
        </w:rPr>
        <w:t>Table</w:t>
      </w:r>
      <w:r w:rsidRPr="00DD5E73">
        <w:rPr>
          <w:rFonts w:ascii="Times New Roman" w:hAnsi="Times New Roman" w:cs="Times New Roman"/>
          <w:color w:val="auto"/>
          <w:sz w:val="24"/>
          <w:szCs w:val="24"/>
        </w:rPr>
        <w:t xml:space="preserve">s </w:t>
      </w:r>
      <w:r>
        <w:rPr>
          <w:rFonts w:ascii="Times New Roman" w:hAnsi="Times New Roman" w:cs="Times New Roman"/>
          <w:color w:val="auto"/>
          <w:sz w:val="24"/>
          <w:szCs w:val="24"/>
        </w:rPr>
        <w:t>1</w:t>
      </w:r>
      <w:r w:rsidR="00A337A8">
        <w:rPr>
          <w:rFonts w:ascii="Times New Roman" w:hAnsi="Times New Roman" w:cs="Times New Roman"/>
          <w:color w:val="auto"/>
          <w:sz w:val="24"/>
          <w:szCs w:val="24"/>
        </w:rPr>
        <w:t>0</w:t>
      </w:r>
      <w:r>
        <w:rPr>
          <w:rFonts w:ascii="Times New Roman" w:hAnsi="Times New Roman" w:cs="Times New Roman"/>
          <w:color w:val="auto"/>
          <w:sz w:val="24"/>
          <w:szCs w:val="24"/>
        </w:rPr>
        <w:t>-</w:t>
      </w:r>
      <w:r w:rsidR="00A337A8">
        <w:rPr>
          <w:rFonts w:ascii="Times New Roman" w:hAnsi="Times New Roman" w:cs="Times New Roman"/>
          <w:color w:val="auto"/>
          <w:sz w:val="24"/>
          <w:szCs w:val="24"/>
        </w:rPr>
        <w:t>1</w:t>
      </w:r>
      <w:r w:rsidR="007A27D2">
        <w:rPr>
          <w:rFonts w:ascii="Times New Roman" w:hAnsi="Times New Roman" w:cs="Times New Roman"/>
          <w:color w:val="auto"/>
          <w:sz w:val="24"/>
          <w:szCs w:val="24"/>
        </w:rPr>
        <w:t>3</w:t>
      </w:r>
      <w:r w:rsidRPr="00DD5E73">
        <w:rPr>
          <w:rFonts w:ascii="Times New Roman" w:hAnsi="Times New Roman" w:cs="Times New Roman"/>
          <w:color w:val="auto"/>
          <w:sz w:val="24"/>
          <w:szCs w:val="24"/>
        </w:rPr>
        <w:t xml:space="preserve"> illustrate the descriptive statistics for the sample population on pretrial supervision. It illustrates that the overall FTA rate </w:t>
      </w:r>
      <w:r w:rsidR="0094258A">
        <w:rPr>
          <w:rFonts w:ascii="Times New Roman" w:hAnsi="Times New Roman" w:cs="Times New Roman"/>
          <w:color w:val="auto"/>
          <w:sz w:val="24"/>
          <w:szCs w:val="24"/>
        </w:rPr>
        <w:t xml:space="preserve">was </w:t>
      </w:r>
      <w:r w:rsidRPr="00DD5E73">
        <w:rPr>
          <w:rFonts w:ascii="Times New Roman" w:hAnsi="Times New Roman" w:cs="Times New Roman"/>
          <w:color w:val="auto"/>
          <w:sz w:val="24"/>
          <w:szCs w:val="24"/>
        </w:rPr>
        <w:t xml:space="preserve">21%, the rate for new arrest </w:t>
      </w:r>
      <w:r w:rsidR="0094258A">
        <w:rPr>
          <w:rFonts w:ascii="Times New Roman" w:hAnsi="Times New Roman" w:cs="Times New Roman"/>
          <w:color w:val="auto"/>
          <w:sz w:val="24"/>
          <w:szCs w:val="24"/>
        </w:rPr>
        <w:t>was</w:t>
      </w:r>
      <w:r w:rsidRPr="00DD5E73">
        <w:rPr>
          <w:rFonts w:ascii="Times New Roman" w:hAnsi="Times New Roman" w:cs="Times New Roman"/>
          <w:color w:val="auto"/>
          <w:sz w:val="24"/>
          <w:szCs w:val="24"/>
        </w:rPr>
        <w:t xml:space="preserve"> 4%, and total revocations </w:t>
      </w:r>
      <w:r w:rsidR="0094258A">
        <w:rPr>
          <w:rFonts w:ascii="Times New Roman" w:hAnsi="Times New Roman" w:cs="Times New Roman"/>
          <w:color w:val="auto"/>
          <w:sz w:val="24"/>
          <w:szCs w:val="24"/>
        </w:rPr>
        <w:t>were</w:t>
      </w:r>
      <w:r w:rsidRPr="00DD5E73">
        <w:rPr>
          <w:rFonts w:ascii="Times New Roman" w:hAnsi="Times New Roman" w:cs="Times New Roman"/>
          <w:color w:val="auto"/>
          <w:sz w:val="24"/>
          <w:szCs w:val="24"/>
        </w:rPr>
        <w:t xml:space="preserve"> 27%. In addition, the average total risk score</w:t>
      </w:r>
      <w:r w:rsidR="00376FB3">
        <w:rPr>
          <w:rFonts w:ascii="Times New Roman" w:hAnsi="Times New Roman" w:cs="Times New Roman"/>
          <w:color w:val="auto"/>
          <w:sz w:val="24"/>
          <w:szCs w:val="24"/>
        </w:rPr>
        <w:t xml:space="preserve"> was four</w:t>
      </w:r>
      <w:r w:rsidRPr="00DD5E73">
        <w:rPr>
          <w:rFonts w:ascii="Times New Roman" w:hAnsi="Times New Roman" w:cs="Times New Roman"/>
          <w:color w:val="auto"/>
          <w:sz w:val="24"/>
          <w:szCs w:val="24"/>
        </w:rPr>
        <w:t xml:space="preserve">, and most individuals released on pretrial </w:t>
      </w:r>
      <w:r w:rsidR="00376FB3">
        <w:rPr>
          <w:rFonts w:ascii="Times New Roman" w:hAnsi="Times New Roman" w:cs="Times New Roman"/>
          <w:color w:val="auto"/>
          <w:sz w:val="24"/>
          <w:szCs w:val="24"/>
        </w:rPr>
        <w:t>were</w:t>
      </w:r>
      <w:r w:rsidRPr="00DD5E73">
        <w:rPr>
          <w:rFonts w:ascii="Times New Roman" w:hAnsi="Times New Roman" w:cs="Times New Roman"/>
          <w:color w:val="auto"/>
          <w:sz w:val="24"/>
          <w:szCs w:val="24"/>
        </w:rPr>
        <w:t xml:space="preserve"> </w:t>
      </w:r>
      <w:r w:rsidR="004C2B19">
        <w:rPr>
          <w:rFonts w:ascii="Times New Roman" w:hAnsi="Times New Roman" w:cs="Times New Roman"/>
          <w:color w:val="auto"/>
          <w:sz w:val="24"/>
          <w:szCs w:val="24"/>
        </w:rPr>
        <w:t>moderate-ris</w:t>
      </w:r>
      <w:r w:rsidR="00376FB3">
        <w:rPr>
          <w:rFonts w:ascii="Times New Roman" w:hAnsi="Times New Roman" w:cs="Times New Roman"/>
          <w:color w:val="auto"/>
          <w:sz w:val="24"/>
          <w:szCs w:val="24"/>
        </w:rPr>
        <w:t>k</w:t>
      </w:r>
      <w:r w:rsidRPr="00DD5E73">
        <w:rPr>
          <w:rFonts w:ascii="Times New Roman" w:hAnsi="Times New Roman" w:cs="Times New Roman"/>
          <w:color w:val="auto"/>
          <w:sz w:val="24"/>
          <w:szCs w:val="24"/>
        </w:rPr>
        <w:t xml:space="preserve">. </w:t>
      </w:r>
      <w:r w:rsidR="0041270C">
        <w:rPr>
          <w:rFonts w:ascii="Times New Roman" w:hAnsi="Times New Roman" w:cs="Times New Roman"/>
          <w:color w:val="auto"/>
          <w:sz w:val="24"/>
          <w:szCs w:val="24"/>
        </w:rPr>
        <w:t>The majority released on pretrial</w:t>
      </w:r>
      <w:r w:rsidR="00CA652D">
        <w:rPr>
          <w:rFonts w:ascii="Times New Roman" w:hAnsi="Times New Roman" w:cs="Times New Roman"/>
          <w:color w:val="auto"/>
          <w:sz w:val="24"/>
          <w:szCs w:val="24"/>
        </w:rPr>
        <w:t xml:space="preserve"> supervision</w:t>
      </w:r>
      <w:r w:rsidR="0041270C">
        <w:rPr>
          <w:rFonts w:ascii="Times New Roman" w:hAnsi="Times New Roman" w:cs="Times New Roman"/>
          <w:color w:val="auto"/>
          <w:sz w:val="24"/>
          <w:szCs w:val="24"/>
        </w:rPr>
        <w:t xml:space="preserve"> were</w:t>
      </w:r>
      <w:r w:rsidRPr="00DD5E73">
        <w:rPr>
          <w:rFonts w:ascii="Times New Roman" w:hAnsi="Times New Roman" w:cs="Times New Roman"/>
          <w:color w:val="auto"/>
          <w:sz w:val="24"/>
          <w:szCs w:val="24"/>
        </w:rPr>
        <w:t xml:space="preserve"> </w:t>
      </w:r>
      <w:r w:rsidR="004C2B19">
        <w:rPr>
          <w:rFonts w:ascii="Times New Roman" w:hAnsi="Times New Roman" w:cs="Times New Roman"/>
          <w:color w:val="auto"/>
          <w:sz w:val="24"/>
          <w:szCs w:val="24"/>
        </w:rPr>
        <w:t>moderate-risk</w:t>
      </w:r>
      <w:r w:rsidRPr="00DD5E73">
        <w:rPr>
          <w:rFonts w:ascii="Times New Roman" w:hAnsi="Times New Roman" w:cs="Times New Roman"/>
          <w:color w:val="auto"/>
          <w:sz w:val="24"/>
          <w:szCs w:val="24"/>
        </w:rPr>
        <w:t xml:space="preserve"> because low</w:t>
      </w:r>
      <w:r w:rsidR="005A0DCF">
        <w:rPr>
          <w:rFonts w:ascii="Times New Roman" w:hAnsi="Times New Roman" w:cs="Times New Roman"/>
          <w:color w:val="auto"/>
          <w:sz w:val="24"/>
          <w:szCs w:val="24"/>
        </w:rPr>
        <w:t>-risk were</w:t>
      </w:r>
      <w:r w:rsidRPr="00DD5E73">
        <w:rPr>
          <w:rFonts w:ascii="Times New Roman" w:hAnsi="Times New Roman" w:cs="Times New Roman"/>
          <w:color w:val="auto"/>
          <w:sz w:val="24"/>
          <w:szCs w:val="24"/>
        </w:rPr>
        <w:t xml:space="preserve"> more likely to be ORR.</w:t>
      </w:r>
    </w:p>
    <w:p w14:paraId="093B1CF3" w14:textId="3BD239CB" w:rsidR="00BB718F" w:rsidRDefault="00BB718F" w:rsidP="00CA3863">
      <w:pPr>
        <w:pStyle w:val="Content"/>
        <w:jc w:val="both"/>
        <w:rPr>
          <w:rFonts w:ascii="Times New Roman" w:hAnsi="Times New Roman" w:cs="Times New Roman"/>
          <w:color w:val="auto"/>
          <w:sz w:val="24"/>
          <w:szCs w:val="24"/>
        </w:rPr>
      </w:pPr>
    </w:p>
    <w:p w14:paraId="0AFFFE56" w14:textId="19CCD7B3" w:rsidR="00BB718F" w:rsidRDefault="00BB718F" w:rsidP="00CA3863">
      <w:pPr>
        <w:pStyle w:val="Content"/>
        <w:jc w:val="both"/>
        <w:rPr>
          <w:rFonts w:ascii="Times New Roman" w:hAnsi="Times New Roman" w:cs="Times New Roman"/>
          <w:color w:val="auto"/>
          <w:sz w:val="24"/>
          <w:szCs w:val="24"/>
        </w:rPr>
      </w:pPr>
    </w:p>
    <w:p w14:paraId="627BB92E" w14:textId="5609D04B" w:rsidR="00BB718F" w:rsidRDefault="00BB718F" w:rsidP="00CA3863">
      <w:pPr>
        <w:pStyle w:val="Content"/>
        <w:jc w:val="both"/>
        <w:rPr>
          <w:rFonts w:ascii="Times New Roman" w:hAnsi="Times New Roman" w:cs="Times New Roman"/>
          <w:color w:val="auto"/>
          <w:sz w:val="24"/>
          <w:szCs w:val="24"/>
        </w:rPr>
      </w:pPr>
    </w:p>
    <w:p w14:paraId="5188AEA7" w14:textId="77777777" w:rsidR="005A0DCF" w:rsidRDefault="005A0DCF" w:rsidP="00CA3863">
      <w:pPr>
        <w:pStyle w:val="Content"/>
        <w:jc w:val="both"/>
        <w:rPr>
          <w:rFonts w:ascii="Times New Roman" w:hAnsi="Times New Roman" w:cs="Times New Roman"/>
          <w:color w:val="auto"/>
          <w:sz w:val="24"/>
          <w:szCs w:val="24"/>
        </w:rPr>
      </w:pPr>
    </w:p>
    <w:p w14:paraId="124C4D9D" w14:textId="144A2B32" w:rsidR="00BB718F" w:rsidRDefault="00BB718F" w:rsidP="00CA3863">
      <w:pPr>
        <w:pStyle w:val="Content"/>
        <w:jc w:val="both"/>
        <w:rPr>
          <w:rFonts w:ascii="Times New Roman" w:hAnsi="Times New Roman" w:cs="Times New Roman"/>
          <w:color w:val="auto"/>
          <w:sz w:val="24"/>
          <w:szCs w:val="24"/>
        </w:rPr>
      </w:pPr>
    </w:p>
    <w:p w14:paraId="7C67E89D" w14:textId="3953CBDE" w:rsidR="00BB718F" w:rsidRDefault="00BB718F" w:rsidP="00CA3863">
      <w:pPr>
        <w:pStyle w:val="Content"/>
        <w:jc w:val="both"/>
        <w:rPr>
          <w:rFonts w:ascii="Times New Roman" w:hAnsi="Times New Roman" w:cs="Times New Roman"/>
          <w:color w:val="auto"/>
          <w:sz w:val="24"/>
          <w:szCs w:val="24"/>
        </w:rPr>
      </w:pPr>
    </w:p>
    <w:p w14:paraId="17152A40" w14:textId="77777777" w:rsidR="004B009D" w:rsidRDefault="004B009D" w:rsidP="00CA3863">
      <w:pPr>
        <w:pStyle w:val="Content"/>
        <w:rPr>
          <w:rFonts w:ascii="Times New Roman" w:hAnsi="Times New Roman" w:cs="Times New Roman"/>
          <w:color w:val="auto"/>
          <w:sz w:val="24"/>
          <w:szCs w:val="24"/>
        </w:rPr>
      </w:pPr>
    </w:p>
    <w:p w14:paraId="4987B232" w14:textId="7765CA77" w:rsidR="00CA3863" w:rsidRPr="003002C1" w:rsidRDefault="00E65A98" w:rsidP="00CA3863">
      <w:pPr>
        <w:pStyle w:val="Conten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Table</w:t>
      </w:r>
      <w:r w:rsidR="00CA3863" w:rsidRPr="003002C1">
        <w:rPr>
          <w:rFonts w:ascii="Times New Roman" w:hAnsi="Times New Roman" w:cs="Times New Roman"/>
          <w:b/>
          <w:bCs/>
          <w:color w:val="auto"/>
          <w:sz w:val="24"/>
          <w:szCs w:val="24"/>
        </w:rPr>
        <w:t xml:space="preserve"> 1</w:t>
      </w:r>
      <w:r w:rsidR="00A337A8">
        <w:rPr>
          <w:rFonts w:ascii="Times New Roman" w:hAnsi="Times New Roman" w:cs="Times New Roman"/>
          <w:b/>
          <w:bCs/>
          <w:color w:val="auto"/>
          <w:sz w:val="24"/>
          <w:szCs w:val="24"/>
        </w:rPr>
        <w:t>0</w:t>
      </w:r>
      <w:r w:rsidR="00CA3863" w:rsidRPr="003002C1">
        <w:rPr>
          <w:rFonts w:ascii="Times New Roman" w:hAnsi="Times New Roman" w:cs="Times New Roman"/>
          <w:b/>
          <w:bCs/>
          <w:color w:val="auto"/>
          <w:sz w:val="24"/>
          <w:szCs w:val="24"/>
        </w:rPr>
        <w:t xml:space="preserve">: 2019 sample population those released on pretrial supervision  </w:t>
      </w:r>
    </w:p>
    <w:tbl>
      <w:tblPr>
        <w:tblStyle w:val="GridTable1Light"/>
        <w:tblW w:w="0" w:type="auto"/>
        <w:tblLook w:val="04A0" w:firstRow="1" w:lastRow="0" w:firstColumn="1" w:lastColumn="0" w:noHBand="0" w:noVBand="1"/>
      </w:tblPr>
      <w:tblGrid>
        <w:gridCol w:w="2337"/>
        <w:gridCol w:w="2337"/>
        <w:gridCol w:w="2337"/>
        <w:gridCol w:w="2337"/>
      </w:tblGrid>
      <w:tr w:rsidR="00CA3863" w:rsidRPr="003002C1" w14:paraId="340FC659" w14:textId="77777777" w:rsidTr="00A07A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5CBFB1B"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Demographics </w:t>
            </w:r>
          </w:p>
        </w:tc>
        <w:tc>
          <w:tcPr>
            <w:tcW w:w="2337" w:type="dxa"/>
          </w:tcPr>
          <w:p w14:paraId="2D6D3DEF" w14:textId="77777777" w:rsidR="00CA3863" w:rsidRPr="003002C1" w:rsidRDefault="00CA3863" w:rsidP="00A07AC4">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52EDCEDE" w14:textId="77777777" w:rsidR="00CA3863" w:rsidRPr="003002C1" w:rsidRDefault="00CA3863" w:rsidP="00A07AC4">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N (160)</w:t>
            </w:r>
          </w:p>
        </w:tc>
        <w:tc>
          <w:tcPr>
            <w:tcW w:w="2337" w:type="dxa"/>
          </w:tcPr>
          <w:p w14:paraId="0825FAB6" w14:textId="77777777" w:rsidR="00CA3863" w:rsidRPr="003002C1" w:rsidRDefault="00CA3863" w:rsidP="00A07AC4">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w:t>
            </w:r>
          </w:p>
        </w:tc>
      </w:tr>
      <w:tr w:rsidR="00CA3863" w:rsidRPr="003002C1" w14:paraId="56D8C545"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5C3920F1"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Gender </w:t>
            </w:r>
          </w:p>
        </w:tc>
        <w:tc>
          <w:tcPr>
            <w:tcW w:w="2337" w:type="dxa"/>
          </w:tcPr>
          <w:p w14:paraId="16B1AAE0"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8F50760"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2B28C9F7"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63" w:rsidRPr="003002C1" w14:paraId="0794BDC1"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5514DF47"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1CC68043"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Male</w:t>
            </w:r>
          </w:p>
        </w:tc>
        <w:tc>
          <w:tcPr>
            <w:tcW w:w="2337" w:type="dxa"/>
          </w:tcPr>
          <w:p w14:paraId="0633392D"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122</w:t>
            </w:r>
          </w:p>
        </w:tc>
        <w:tc>
          <w:tcPr>
            <w:tcW w:w="2337" w:type="dxa"/>
          </w:tcPr>
          <w:p w14:paraId="7625149D"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76.25</w:t>
            </w:r>
          </w:p>
        </w:tc>
      </w:tr>
      <w:tr w:rsidR="00CA3863" w:rsidRPr="003002C1" w14:paraId="431C6857"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70404C2F"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6DB79451"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Female</w:t>
            </w:r>
          </w:p>
        </w:tc>
        <w:tc>
          <w:tcPr>
            <w:tcW w:w="2337" w:type="dxa"/>
          </w:tcPr>
          <w:p w14:paraId="36C1E156"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38</w:t>
            </w:r>
          </w:p>
        </w:tc>
        <w:tc>
          <w:tcPr>
            <w:tcW w:w="2337" w:type="dxa"/>
          </w:tcPr>
          <w:p w14:paraId="46EE6819"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23.75</w:t>
            </w:r>
          </w:p>
        </w:tc>
      </w:tr>
      <w:tr w:rsidR="00CA3863" w:rsidRPr="003002C1" w14:paraId="21C2DF3B"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33DBA29B"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Race</w:t>
            </w:r>
          </w:p>
        </w:tc>
        <w:tc>
          <w:tcPr>
            <w:tcW w:w="2337" w:type="dxa"/>
          </w:tcPr>
          <w:p w14:paraId="0BF9D55A"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0A7A8449"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1931ACE7"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63" w:rsidRPr="003002C1" w14:paraId="3C427B3E"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4BFA8E95"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663CD427"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white</w:t>
            </w:r>
          </w:p>
        </w:tc>
        <w:tc>
          <w:tcPr>
            <w:tcW w:w="2337" w:type="dxa"/>
          </w:tcPr>
          <w:p w14:paraId="46A3B6D5"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51</w:t>
            </w:r>
          </w:p>
        </w:tc>
        <w:tc>
          <w:tcPr>
            <w:tcW w:w="2337" w:type="dxa"/>
          </w:tcPr>
          <w:p w14:paraId="11A9DAFB"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31.88</w:t>
            </w:r>
          </w:p>
        </w:tc>
      </w:tr>
      <w:tr w:rsidR="00CA3863" w:rsidRPr="003002C1" w14:paraId="373527BA"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5D7ECBDE"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645FF563"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Black</w:t>
            </w:r>
          </w:p>
        </w:tc>
        <w:tc>
          <w:tcPr>
            <w:tcW w:w="2337" w:type="dxa"/>
          </w:tcPr>
          <w:p w14:paraId="5055CCD4"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75</w:t>
            </w:r>
          </w:p>
        </w:tc>
        <w:tc>
          <w:tcPr>
            <w:tcW w:w="2337" w:type="dxa"/>
          </w:tcPr>
          <w:p w14:paraId="069FB025"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46.88</w:t>
            </w:r>
          </w:p>
        </w:tc>
      </w:tr>
      <w:tr w:rsidR="00CA3863" w:rsidRPr="003002C1" w14:paraId="706DE18B"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0D41CB76"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30272CE2"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Latine</w:t>
            </w:r>
            <w:r w:rsidRPr="003002C1">
              <w:rPr>
                <w:rStyle w:val="FootnoteReference"/>
                <w:rFonts w:ascii="Times New Roman" w:hAnsi="Times New Roman" w:cs="Times New Roman"/>
                <w:color w:val="auto"/>
                <w:sz w:val="24"/>
                <w:szCs w:val="24"/>
              </w:rPr>
              <w:footnoteReference w:id="10"/>
            </w:r>
          </w:p>
        </w:tc>
        <w:tc>
          <w:tcPr>
            <w:tcW w:w="2337" w:type="dxa"/>
          </w:tcPr>
          <w:p w14:paraId="69F1AAB9"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27</w:t>
            </w:r>
          </w:p>
        </w:tc>
        <w:tc>
          <w:tcPr>
            <w:tcW w:w="2337" w:type="dxa"/>
          </w:tcPr>
          <w:p w14:paraId="772F6620"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16.88</w:t>
            </w:r>
          </w:p>
        </w:tc>
      </w:tr>
      <w:tr w:rsidR="00CA3863" w:rsidRPr="003002C1" w14:paraId="32D13893"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2727E84"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3D6C72E2"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Asian</w:t>
            </w:r>
            <w:r w:rsidRPr="003002C1">
              <w:rPr>
                <w:rStyle w:val="FootnoteReference"/>
                <w:rFonts w:ascii="Times New Roman" w:hAnsi="Times New Roman" w:cs="Times New Roman"/>
                <w:color w:val="auto"/>
                <w:sz w:val="24"/>
                <w:szCs w:val="24"/>
              </w:rPr>
              <w:footnoteReference w:id="11"/>
            </w:r>
          </w:p>
        </w:tc>
        <w:tc>
          <w:tcPr>
            <w:tcW w:w="2337" w:type="dxa"/>
          </w:tcPr>
          <w:p w14:paraId="04801548"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5</w:t>
            </w:r>
          </w:p>
        </w:tc>
        <w:tc>
          <w:tcPr>
            <w:tcW w:w="2337" w:type="dxa"/>
          </w:tcPr>
          <w:p w14:paraId="40BD2214"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3.13</w:t>
            </w:r>
          </w:p>
        </w:tc>
      </w:tr>
      <w:tr w:rsidR="00CA3863" w:rsidRPr="003002C1" w14:paraId="47132D2C"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1F743B0B"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4909CE17"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Native Americans </w:t>
            </w:r>
          </w:p>
        </w:tc>
        <w:tc>
          <w:tcPr>
            <w:tcW w:w="2337" w:type="dxa"/>
          </w:tcPr>
          <w:p w14:paraId="183431EF"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0</w:t>
            </w:r>
          </w:p>
        </w:tc>
        <w:tc>
          <w:tcPr>
            <w:tcW w:w="2337" w:type="dxa"/>
          </w:tcPr>
          <w:p w14:paraId="256C4EAE"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0</w:t>
            </w:r>
          </w:p>
        </w:tc>
      </w:tr>
      <w:tr w:rsidR="00CA3863" w:rsidRPr="003002C1" w14:paraId="1AA0435D"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5B8C128"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5BD70301"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Other </w:t>
            </w:r>
          </w:p>
        </w:tc>
        <w:tc>
          <w:tcPr>
            <w:tcW w:w="2337" w:type="dxa"/>
          </w:tcPr>
          <w:p w14:paraId="629B37A5"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w:t>
            </w:r>
          </w:p>
        </w:tc>
        <w:tc>
          <w:tcPr>
            <w:tcW w:w="2337" w:type="dxa"/>
          </w:tcPr>
          <w:p w14:paraId="77B29F90"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1.25</w:t>
            </w:r>
          </w:p>
        </w:tc>
      </w:tr>
    </w:tbl>
    <w:p w14:paraId="1144F791" w14:textId="77777777" w:rsidR="00CA3863" w:rsidRPr="003002C1" w:rsidRDefault="00CA3863" w:rsidP="00CA3863">
      <w:pPr>
        <w:jc w:val="both"/>
        <w:rPr>
          <w:rFonts w:ascii="Times New Roman" w:hAnsi="Times New Roman" w:cs="Times New Roman"/>
          <w:sz w:val="24"/>
          <w:szCs w:val="24"/>
        </w:rPr>
      </w:pPr>
    </w:p>
    <w:p w14:paraId="1DDA32AB" w14:textId="22363AC6"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7A27D2">
        <w:rPr>
          <w:rFonts w:ascii="Times New Roman" w:hAnsi="Times New Roman" w:cs="Times New Roman"/>
          <w:b/>
          <w:bCs/>
          <w:sz w:val="24"/>
          <w:szCs w:val="24"/>
        </w:rPr>
        <w:t>11</w:t>
      </w:r>
      <w:r w:rsidR="00CA3863" w:rsidRPr="003002C1">
        <w:rPr>
          <w:rFonts w:ascii="Times New Roman" w:hAnsi="Times New Roman" w:cs="Times New Roman"/>
          <w:b/>
          <w:bCs/>
          <w:sz w:val="24"/>
          <w:szCs w:val="24"/>
        </w:rPr>
        <w:t xml:space="preserve">: </w:t>
      </w:r>
      <w:r w:rsidR="006B72A5">
        <w:rPr>
          <w:rFonts w:ascii="Times New Roman" w:hAnsi="Times New Roman" w:cs="Times New Roman"/>
          <w:b/>
          <w:bCs/>
          <w:sz w:val="24"/>
          <w:szCs w:val="24"/>
        </w:rPr>
        <w:t>Binary</w:t>
      </w:r>
      <w:r w:rsidR="00CA3863" w:rsidRPr="003002C1">
        <w:rPr>
          <w:rFonts w:ascii="Times New Roman" w:hAnsi="Times New Roman" w:cs="Times New Roman"/>
          <w:b/>
          <w:bCs/>
          <w:sz w:val="24"/>
          <w:szCs w:val="24"/>
        </w:rPr>
        <w:t xml:space="preserve"> Variables </w:t>
      </w:r>
    </w:p>
    <w:tbl>
      <w:tblPr>
        <w:tblStyle w:val="GridTable1Light-Accent1"/>
        <w:tblW w:w="0" w:type="auto"/>
        <w:tblLook w:val="04A0" w:firstRow="1" w:lastRow="0" w:firstColumn="1" w:lastColumn="0" w:noHBand="0" w:noVBand="1"/>
      </w:tblPr>
      <w:tblGrid>
        <w:gridCol w:w="2245"/>
        <w:gridCol w:w="1170"/>
        <w:gridCol w:w="1080"/>
        <w:gridCol w:w="1260"/>
        <w:gridCol w:w="1350"/>
        <w:gridCol w:w="1170"/>
        <w:gridCol w:w="1075"/>
      </w:tblGrid>
      <w:tr w:rsidR="00CA3863" w:rsidRPr="003002C1" w14:paraId="5920C7FD" w14:textId="77777777" w:rsidTr="00A0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6D69E6A"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Variable </w:t>
            </w:r>
          </w:p>
        </w:tc>
        <w:tc>
          <w:tcPr>
            <w:tcW w:w="1170" w:type="dxa"/>
          </w:tcPr>
          <w:p w14:paraId="02882F9D"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Obs. </w:t>
            </w:r>
          </w:p>
        </w:tc>
        <w:tc>
          <w:tcPr>
            <w:tcW w:w="1080" w:type="dxa"/>
          </w:tcPr>
          <w:p w14:paraId="3D974B1D"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No</w:t>
            </w:r>
          </w:p>
        </w:tc>
        <w:tc>
          <w:tcPr>
            <w:tcW w:w="1260" w:type="dxa"/>
          </w:tcPr>
          <w:p w14:paraId="70297066"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Yes</w:t>
            </w:r>
          </w:p>
        </w:tc>
        <w:tc>
          <w:tcPr>
            <w:tcW w:w="1350" w:type="dxa"/>
          </w:tcPr>
          <w:p w14:paraId="00C9FA3C"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Mean</w:t>
            </w:r>
          </w:p>
        </w:tc>
        <w:tc>
          <w:tcPr>
            <w:tcW w:w="1170" w:type="dxa"/>
          </w:tcPr>
          <w:p w14:paraId="5F9188F7"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Min</w:t>
            </w:r>
          </w:p>
        </w:tc>
        <w:tc>
          <w:tcPr>
            <w:tcW w:w="1075" w:type="dxa"/>
          </w:tcPr>
          <w:p w14:paraId="6D405C46"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Max </w:t>
            </w:r>
          </w:p>
        </w:tc>
      </w:tr>
      <w:tr w:rsidR="00CA3863" w:rsidRPr="003002C1" w14:paraId="7360B1ED"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59A517BD"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FTA </w:t>
            </w:r>
          </w:p>
        </w:tc>
        <w:tc>
          <w:tcPr>
            <w:tcW w:w="1170" w:type="dxa"/>
          </w:tcPr>
          <w:p w14:paraId="2D8C9DE7"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c>
          <w:tcPr>
            <w:tcW w:w="1080" w:type="dxa"/>
          </w:tcPr>
          <w:p w14:paraId="06928482"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125</w:t>
            </w:r>
          </w:p>
        </w:tc>
        <w:tc>
          <w:tcPr>
            <w:tcW w:w="1260" w:type="dxa"/>
          </w:tcPr>
          <w:p w14:paraId="3DF21DAF"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35</w:t>
            </w:r>
          </w:p>
        </w:tc>
        <w:tc>
          <w:tcPr>
            <w:tcW w:w="1350" w:type="dxa"/>
          </w:tcPr>
          <w:p w14:paraId="0C698DBB"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.21875</w:t>
            </w:r>
          </w:p>
        </w:tc>
        <w:tc>
          <w:tcPr>
            <w:tcW w:w="1170" w:type="dxa"/>
          </w:tcPr>
          <w:p w14:paraId="486EF987"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64678B87"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r w:rsidR="00CA3863" w:rsidRPr="003002C1" w14:paraId="66BC0A82"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5F96C2EA"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New Arrest </w:t>
            </w:r>
          </w:p>
        </w:tc>
        <w:tc>
          <w:tcPr>
            <w:tcW w:w="1170" w:type="dxa"/>
          </w:tcPr>
          <w:p w14:paraId="35C0618D"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c>
          <w:tcPr>
            <w:tcW w:w="1080" w:type="dxa"/>
          </w:tcPr>
          <w:p w14:paraId="306B3032"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153</w:t>
            </w:r>
          </w:p>
        </w:tc>
        <w:tc>
          <w:tcPr>
            <w:tcW w:w="1260" w:type="dxa"/>
          </w:tcPr>
          <w:p w14:paraId="1B24BD11"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7</w:t>
            </w:r>
          </w:p>
        </w:tc>
        <w:tc>
          <w:tcPr>
            <w:tcW w:w="1350" w:type="dxa"/>
          </w:tcPr>
          <w:p w14:paraId="6B75F2EA"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.04375</w:t>
            </w:r>
          </w:p>
        </w:tc>
        <w:tc>
          <w:tcPr>
            <w:tcW w:w="1170" w:type="dxa"/>
          </w:tcPr>
          <w:p w14:paraId="26F4EEA0"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1D732E18"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r w:rsidR="00CA3863" w:rsidRPr="003002C1" w14:paraId="0DCBF96F"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56EC1B7B"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Total Revoked </w:t>
            </w:r>
          </w:p>
        </w:tc>
        <w:tc>
          <w:tcPr>
            <w:tcW w:w="1170" w:type="dxa"/>
          </w:tcPr>
          <w:p w14:paraId="3AE719FF"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c>
          <w:tcPr>
            <w:tcW w:w="1080" w:type="dxa"/>
          </w:tcPr>
          <w:p w14:paraId="4EDD1D15"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116</w:t>
            </w:r>
          </w:p>
        </w:tc>
        <w:tc>
          <w:tcPr>
            <w:tcW w:w="1260" w:type="dxa"/>
          </w:tcPr>
          <w:p w14:paraId="13B1997B"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44</w:t>
            </w:r>
          </w:p>
        </w:tc>
        <w:tc>
          <w:tcPr>
            <w:tcW w:w="1350" w:type="dxa"/>
          </w:tcPr>
          <w:p w14:paraId="1F59B7E9"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.275</w:t>
            </w:r>
          </w:p>
        </w:tc>
        <w:tc>
          <w:tcPr>
            <w:tcW w:w="1170" w:type="dxa"/>
          </w:tcPr>
          <w:p w14:paraId="4FF13046"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72D5C3F8"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bl>
    <w:p w14:paraId="652CC002" w14:textId="77777777" w:rsidR="00CA3863" w:rsidRPr="003002C1" w:rsidRDefault="00CA3863" w:rsidP="00CA3863">
      <w:pPr>
        <w:jc w:val="both"/>
        <w:rPr>
          <w:rFonts w:ascii="Times New Roman" w:hAnsi="Times New Roman" w:cs="Times New Roman"/>
          <w:sz w:val="24"/>
          <w:szCs w:val="24"/>
        </w:rPr>
      </w:pPr>
    </w:p>
    <w:p w14:paraId="00CEFEC6" w14:textId="70A70171"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7A27D2">
        <w:rPr>
          <w:rFonts w:ascii="Times New Roman" w:hAnsi="Times New Roman" w:cs="Times New Roman"/>
          <w:b/>
          <w:bCs/>
          <w:sz w:val="24"/>
          <w:szCs w:val="24"/>
        </w:rPr>
        <w:t>12</w:t>
      </w:r>
      <w:r w:rsidR="00CA3863" w:rsidRPr="003002C1">
        <w:rPr>
          <w:rFonts w:ascii="Times New Roman" w:hAnsi="Times New Roman" w:cs="Times New Roman"/>
          <w:b/>
          <w:bCs/>
          <w:sz w:val="24"/>
          <w:szCs w:val="24"/>
        </w:rPr>
        <w:t xml:space="preserve">: Continuous variables </w:t>
      </w:r>
    </w:p>
    <w:tbl>
      <w:tblPr>
        <w:tblStyle w:val="GridTable1Light-Accent1"/>
        <w:tblW w:w="0" w:type="auto"/>
        <w:tblLook w:val="04A0" w:firstRow="1" w:lastRow="0" w:firstColumn="1" w:lastColumn="0" w:noHBand="0" w:noVBand="1"/>
      </w:tblPr>
      <w:tblGrid>
        <w:gridCol w:w="2245"/>
        <w:gridCol w:w="1170"/>
        <w:gridCol w:w="1080"/>
        <w:gridCol w:w="1350"/>
        <w:gridCol w:w="1170"/>
        <w:gridCol w:w="1075"/>
      </w:tblGrid>
      <w:tr w:rsidR="00CA3863" w:rsidRPr="003002C1" w14:paraId="11FB237D" w14:textId="77777777" w:rsidTr="00A0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109094"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Variable </w:t>
            </w:r>
          </w:p>
        </w:tc>
        <w:tc>
          <w:tcPr>
            <w:tcW w:w="1170" w:type="dxa"/>
          </w:tcPr>
          <w:p w14:paraId="36873C68"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Obs. </w:t>
            </w:r>
          </w:p>
        </w:tc>
        <w:tc>
          <w:tcPr>
            <w:tcW w:w="1080" w:type="dxa"/>
          </w:tcPr>
          <w:p w14:paraId="7D25416C"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Mean </w:t>
            </w:r>
          </w:p>
        </w:tc>
        <w:tc>
          <w:tcPr>
            <w:tcW w:w="1350" w:type="dxa"/>
          </w:tcPr>
          <w:p w14:paraId="194BDA73"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Std</w:t>
            </w:r>
          </w:p>
        </w:tc>
        <w:tc>
          <w:tcPr>
            <w:tcW w:w="1170" w:type="dxa"/>
          </w:tcPr>
          <w:p w14:paraId="0E083E54"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Min</w:t>
            </w:r>
          </w:p>
        </w:tc>
        <w:tc>
          <w:tcPr>
            <w:tcW w:w="1075" w:type="dxa"/>
          </w:tcPr>
          <w:p w14:paraId="6D4BDA1B"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Max </w:t>
            </w:r>
          </w:p>
        </w:tc>
      </w:tr>
      <w:tr w:rsidR="00CA3863" w:rsidRPr="003002C1" w14:paraId="0796D208"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6A8D389E"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Risk  </w:t>
            </w:r>
          </w:p>
        </w:tc>
        <w:tc>
          <w:tcPr>
            <w:tcW w:w="1170" w:type="dxa"/>
          </w:tcPr>
          <w:p w14:paraId="46C1E6CE"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c>
          <w:tcPr>
            <w:tcW w:w="1080" w:type="dxa"/>
          </w:tcPr>
          <w:p w14:paraId="17C04BC6"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4.03125</w:t>
            </w:r>
          </w:p>
        </w:tc>
        <w:tc>
          <w:tcPr>
            <w:tcW w:w="1350" w:type="dxa"/>
          </w:tcPr>
          <w:p w14:paraId="4727A3BA"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1.5106</w:t>
            </w:r>
          </w:p>
        </w:tc>
        <w:tc>
          <w:tcPr>
            <w:tcW w:w="1170" w:type="dxa"/>
          </w:tcPr>
          <w:p w14:paraId="56C0E445"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410212C4"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9</w:t>
            </w:r>
          </w:p>
        </w:tc>
      </w:tr>
    </w:tbl>
    <w:p w14:paraId="400434CE" w14:textId="77777777" w:rsidR="00CA3863" w:rsidRPr="003002C1" w:rsidRDefault="00CA3863" w:rsidP="00CA3863">
      <w:pPr>
        <w:spacing w:after="0"/>
        <w:jc w:val="both"/>
        <w:rPr>
          <w:rFonts w:ascii="Times New Roman" w:hAnsi="Times New Roman" w:cs="Times New Roman"/>
          <w:sz w:val="24"/>
          <w:szCs w:val="24"/>
        </w:rPr>
      </w:pPr>
    </w:p>
    <w:p w14:paraId="7C6A89A4" w14:textId="5FAFC070"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7A27D2">
        <w:rPr>
          <w:rFonts w:ascii="Times New Roman" w:hAnsi="Times New Roman" w:cs="Times New Roman"/>
          <w:b/>
          <w:bCs/>
          <w:sz w:val="24"/>
          <w:szCs w:val="24"/>
        </w:rPr>
        <w:t>13</w:t>
      </w:r>
      <w:r w:rsidR="00CA3863" w:rsidRPr="003002C1">
        <w:rPr>
          <w:rFonts w:ascii="Times New Roman" w:hAnsi="Times New Roman" w:cs="Times New Roman"/>
          <w:b/>
          <w:bCs/>
          <w:sz w:val="24"/>
          <w:szCs w:val="24"/>
        </w:rPr>
        <w:t>: Categorical Variable</w:t>
      </w:r>
    </w:p>
    <w:tbl>
      <w:tblPr>
        <w:tblStyle w:val="GridTable1Light"/>
        <w:tblW w:w="0" w:type="auto"/>
        <w:tblLook w:val="04A0" w:firstRow="1" w:lastRow="0" w:firstColumn="1" w:lastColumn="0" w:noHBand="0" w:noVBand="1"/>
      </w:tblPr>
      <w:tblGrid>
        <w:gridCol w:w="2337"/>
        <w:gridCol w:w="2337"/>
      </w:tblGrid>
      <w:tr w:rsidR="00CA3863" w:rsidRPr="003002C1" w14:paraId="0788DF7B" w14:textId="77777777" w:rsidTr="00A07A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1E2F4B5F"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Variable: Risk Level </w:t>
            </w:r>
          </w:p>
        </w:tc>
        <w:tc>
          <w:tcPr>
            <w:tcW w:w="2337" w:type="dxa"/>
          </w:tcPr>
          <w:p w14:paraId="176B397B" w14:textId="77777777" w:rsidR="00CA3863" w:rsidRPr="003002C1" w:rsidRDefault="00CA3863" w:rsidP="00A07AC4">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Obs. </w:t>
            </w:r>
          </w:p>
        </w:tc>
      </w:tr>
      <w:tr w:rsidR="00CA3863" w:rsidRPr="003002C1" w14:paraId="14D33DE9"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28F22337"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Low </w:t>
            </w:r>
          </w:p>
        </w:tc>
        <w:tc>
          <w:tcPr>
            <w:tcW w:w="2337" w:type="dxa"/>
          </w:tcPr>
          <w:p w14:paraId="6C3DAAED"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20</w:t>
            </w:r>
          </w:p>
        </w:tc>
      </w:tr>
      <w:tr w:rsidR="00CA3863" w:rsidRPr="003002C1" w14:paraId="57941649"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6FAD835"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 Moderate</w:t>
            </w:r>
          </w:p>
        </w:tc>
        <w:tc>
          <w:tcPr>
            <w:tcW w:w="2337" w:type="dxa"/>
          </w:tcPr>
          <w:p w14:paraId="60452472"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124 </w:t>
            </w:r>
          </w:p>
        </w:tc>
      </w:tr>
      <w:tr w:rsidR="00CA3863" w:rsidRPr="003002C1" w14:paraId="2EE6A760"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6727C56F"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High </w:t>
            </w:r>
          </w:p>
        </w:tc>
        <w:tc>
          <w:tcPr>
            <w:tcW w:w="2337" w:type="dxa"/>
          </w:tcPr>
          <w:p w14:paraId="7BCE2822"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16</w:t>
            </w:r>
          </w:p>
        </w:tc>
      </w:tr>
    </w:tbl>
    <w:p w14:paraId="61AFCDA3" w14:textId="77777777" w:rsidR="00CA3863" w:rsidRPr="003002C1" w:rsidRDefault="00CA3863" w:rsidP="00CA3863">
      <w:pPr>
        <w:jc w:val="both"/>
        <w:rPr>
          <w:rFonts w:ascii="Times New Roman" w:hAnsi="Times New Roman" w:cs="Times New Roman"/>
          <w:sz w:val="24"/>
          <w:szCs w:val="24"/>
        </w:rPr>
      </w:pPr>
    </w:p>
    <w:p w14:paraId="3070D629" w14:textId="77777777" w:rsidR="00CA3863" w:rsidRPr="003002C1" w:rsidRDefault="00CA3863" w:rsidP="00CA3863">
      <w:pPr>
        <w:jc w:val="both"/>
        <w:rPr>
          <w:rFonts w:ascii="Times New Roman" w:hAnsi="Times New Roman" w:cs="Times New Roman"/>
          <w:b/>
          <w:bCs/>
          <w:sz w:val="24"/>
          <w:szCs w:val="24"/>
        </w:rPr>
      </w:pPr>
      <w:r w:rsidRPr="003002C1">
        <w:rPr>
          <w:rFonts w:ascii="Times New Roman" w:hAnsi="Times New Roman" w:cs="Times New Roman"/>
          <w:b/>
          <w:bCs/>
          <w:sz w:val="24"/>
          <w:szCs w:val="24"/>
        </w:rPr>
        <w:t>Research question:</w:t>
      </w:r>
    </w:p>
    <w:p w14:paraId="73D4A49B" w14:textId="2DA5B6F0" w:rsidR="00CA3863" w:rsidRPr="003002C1" w:rsidRDefault="00CA3863" w:rsidP="00CA3863">
      <w:pPr>
        <w:pStyle w:val="ListParagraph"/>
        <w:ind w:left="0"/>
        <w:jc w:val="both"/>
        <w:rPr>
          <w:rFonts w:ascii="Times New Roman" w:hAnsi="Times New Roman" w:cs="Times New Roman"/>
          <w:sz w:val="24"/>
          <w:szCs w:val="24"/>
        </w:rPr>
      </w:pPr>
      <w:r w:rsidRPr="003002C1">
        <w:rPr>
          <w:rFonts w:ascii="Times New Roman" w:hAnsi="Times New Roman" w:cs="Times New Roman"/>
          <w:sz w:val="24"/>
          <w:szCs w:val="24"/>
        </w:rPr>
        <w:t xml:space="preserve">How successful </w:t>
      </w:r>
      <w:r w:rsidR="00BC51A5">
        <w:rPr>
          <w:rFonts w:ascii="Times New Roman" w:hAnsi="Times New Roman" w:cs="Times New Roman"/>
          <w:sz w:val="24"/>
          <w:szCs w:val="24"/>
        </w:rPr>
        <w:t>w</w:t>
      </w:r>
      <w:r w:rsidR="00E053C9">
        <w:rPr>
          <w:rFonts w:ascii="Times New Roman" w:hAnsi="Times New Roman" w:cs="Times New Roman"/>
          <w:sz w:val="24"/>
          <w:szCs w:val="24"/>
        </w:rPr>
        <w:t>as the</w:t>
      </w:r>
      <w:r w:rsidRPr="003002C1">
        <w:rPr>
          <w:rFonts w:ascii="Times New Roman" w:hAnsi="Times New Roman" w:cs="Times New Roman"/>
          <w:sz w:val="24"/>
          <w:szCs w:val="24"/>
        </w:rPr>
        <w:t xml:space="preserve"> total ORAS-PAT assessment score at predicting the likelihood of FTA among the Solano pretrial population</w:t>
      </w:r>
      <w:r>
        <w:rPr>
          <w:rFonts w:ascii="Times New Roman" w:hAnsi="Times New Roman" w:cs="Times New Roman"/>
          <w:sz w:val="24"/>
          <w:szCs w:val="24"/>
        </w:rPr>
        <w:t>?</w:t>
      </w:r>
    </w:p>
    <w:p w14:paraId="3FBBB39D" w14:textId="3A9B441C"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A chi-square test examines the risk scores and risk level accuracy to predict FTA.  First, the FTA rate was examined by risk score, as shown 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0D7778">
        <w:rPr>
          <w:rFonts w:ascii="Times New Roman" w:hAnsi="Times New Roman" w:cs="Times New Roman"/>
          <w:sz w:val="24"/>
          <w:szCs w:val="24"/>
        </w:rPr>
        <w:t>6</w:t>
      </w:r>
      <w:r w:rsidRPr="003002C1">
        <w:rPr>
          <w:rFonts w:ascii="Times New Roman" w:hAnsi="Times New Roman" w:cs="Times New Roman"/>
          <w:sz w:val="24"/>
          <w:szCs w:val="24"/>
        </w:rPr>
        <w:t xml:space="preserve">. Then, the FTA rate was examined by risk level. In theory, the risk scores should indicate that as the risk scores increase, so do the FTA rates. </w:t>
      </w:r>
      <w:r w:rsidRPr="003002C1">
        <w:rPr>
          <w:rFonts w:ascii="Times New Roman" w:hAnsi="Times New Roman" w:cs="Times New Roman"/>
          <w:sz w:val="24"/>
          <w:szCs w:val="24"/>
        </w:rPr>
        <w:lastRenderedPageBreak/>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47165E">
        <w:rPr>
          <w:rFonts w:ascii="Times New Roman" w:hAnsi="Times New Roman" w:cs="Times New Roman"/>
          <w:sz w:val="24"/>
          <w:szCs w:val="24"/>
        </w:rPr>
        <w:t>7</w:t>
      </w:r>
      <w:r w:rsidRPr="003002C1">
        <w:rPr>
          <w:rFonts w:ascii="Times New Roman" w:hAnsi="Times New Roman" w:cs="Times New Roman"/>
          <w:sz w:val="24"/>
          <w:szCs w:val="24"/>
        </w:rPr>
        <w:t xml:space="preserve">, the FTA rate </w:t>
      </w:r>
      <w:r w:rsidR="00CF1708">
        <w:rPr>
          <w:rFonts w:ascii="Times New Roman" w:hAnsi="Times New Roman" w:cs="Times New Roman"/>
          <w:sz w:val="24"/>
          <w:szCs w:val="24"/>
        </w:rPr>
        <w:t>was displayed</w:t>
      </w:r>
      <w:r w:rsidRPr="003002C1">
        <w:rPr>
          <w:rFonts w:ascii="Times New Roman" w:hAnsi="Times New Roman" w:cs="Times New Roman"/>
          <w:sz w:val="24"/>
          <w:szCs w:val="24"/>
        </w:rPr>
        <w:t xml:space="preserve"> by risk level. </w:t>
      </w:r>
      <w:r w:rsidR="00CF1708">
        <w:rPr>
          <w:rFonts w:ascii="Times New Roman" w:hAnsi="Times New Roman" w:cs="Times New Roman"/>
          <w:sz w:val="24"/>
          <w:szCs w:val="24"/>
        </w:rPr>
        <w:t>I</w:t>
      </w:r>
      <w:r w:rsidRPr="003002C1">
        <w:rPr>
          <w:rFonts w:ascii="Times New Roman" w:hAnsi="Times New Roman" w:cs="Times New Roman"/>
          <w:sz w:val="24"/>
          <w:szCs w:val="24"/>
        </w:rPr>
        <w:t xml:space="preserve">ndividuals were placed in three different risk levels: low, moderate, and high. </w:t>
      </w:r>
      <w:r w:rsidR="000B490A">
        <w:rPr>
          <w:rFonts w:ascii="Times New Roman" w:hAnsi="Times New Roman" w:cs="Times New Roman"/>
          <w:sz w:val="24"/>
          <w:szCs w:val="24"/>
        </w:rPr>
        <w:t>Low-risk</w:t>
      </w:r>
      <w:r w:rsidRPr="003002C1">
        <w:rPr>
          <w:rFonts w:ascii="Times New Roman" w:hAnsi="Times New Roman" w:cs="Times New Roman"/>
          <w:sz w:val="24"/>
          <w:szCs w:val="24"/>
        </w:rPr>
        <w:t xml:space="preserve"> is </w:t>
      </w:r>
      <w:r w:rsidR="006B0CC4">
        <w:rPr>
          <w:rFonts w:ascii="Times New Roman" w:hAnsi="Times New Roman" w:cs="Times New Roman"/>
          <w:sz w:val="24"/>
          <w:szCs w:val="24"/>
        </w:rPr>
        <w:t xml:space="preserve">an individual </w:t>
      </w:r>
      <w:r w:rsidRPr="003002C1">
        <w:rPr>
          <w:rFonts w:ascii="Times New Roman" w:hAnsi="Times New Roman" w:cs="Times New Roman"/>
          <w:sz w:val="24"/>
          <w:szCs w:val="24"/>
        </w:rPr>
        <w:t xml:space="preserve">who scored 0-2, a </w:t>
      </w:r>
      <w:r w:rsidR="004C2B19">
        <w:rPr>
          <w:rFonts w:ascii="Times New Roman" w:hAnsi="Times New Roman" w:cs="Times New Roman"/>
          <w:sz w:val="24"/>
          <w:szCs w:val="24"/>
        </w:rPr>
        <w:t>moderate-risk</w:t>
      </w:r>
      <w:r w:rsidRPr="003002C1">
        <w:rPr>
          <w:rFonts w:ascii="Times New Roman" w:hAnsi="Times New Roman" w:cs="Times New Roman"/>
          <w:sz w:val="24"/>
          <w:szCs w:val="24"/>
        </w:rPr>
        <w:t xml:space="preserve"> 3-5, and </w:t>
      </w:r>
      <w:r w:rsidR="000B490A">
        <w:rPr>
          <w:rFonts w:ascii="Times New Roman" w:hAnsi="Times New Roman" w:cs="Times New Roman"/>
          <w:sz w:val="24"/>
          <w:szCs w:val="24"/>
        </w:rPr>
        <w:t>high-risk</w:t>
      </w:r>
      <w:r w:rsidRPr="003002C1">
        <w:rPr>
          <w:rFonts w:ascii="Times New Roman" w:hAnsi="Times New Roman" w:cs="Times New Roman"/>
          <w:sz w:val="24"/>
          <w:szCs w:val="24"/>
        </w:rPr>
        <w:t xml:space="preserve"> 6-9. </w:t>
      </w:r>
    </w:p>
    <w:p w14:paraId="1EE657B1" w14:textId="716F2657" w:rsidR="00CA3863" w:rsidRPr="003002C1" w:rsidRDefault="00E42FAB" w:rsidP="00CA3863">
      <w:pPr>
        <w:jc w:val="both"/>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w:t>
      </w:r>
      <w:r w:rsidR="000D7778">
        <w:rPr>
          <w:rFonts w:ascii="Times New Roman" w:hAnsi="Times New Roman" w:cs="Times New Roman"/>
          <w:b/>
          <w:bCs/>
          <w:sz w:val="24"/>
          <w:szCs w:val="24"/>
        </w:rPr>
        <w:t>6</w:t>
      </w:r>
      <w:r w:rsidR="00CA3863" w:rsidRPr="003002C1">
        <w:rPr>
          <w:rFonts w:ascii="Times New Roman" w:hAnsi="Times New Roman" w:cs="Times New Roman"/>
          <w:b/>
          <w:bCs/>
          <w:sz w:val="24"/>
          <w:szCs w:val="24"/>
        </w:rPr>
        <w:t xml:space="preserve">: FTA by Risk Score </w:t>
      </w:r>
    </w:p>
    <w:p w14:paraId="05BEE9FC" w14:textId="77777777"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i/>
          <w:iCs/>
          <w:noProof/>
          <w:sz w:val="24"/>
          <w:szCs w:val="24"/>
        </w:rPr>
        <w:drawing>
          <wp:inline distT="0" distB="0" distL="0" distR="0" wp14:anchorId="39E626D4" wp14:editId="4D6C5BEC">
            <wp:extent cx="5400000" cy="2311200"/>
            <wp:effectExtent l="0" t="0" r="10795" b="133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23235F" w14:textId="77777777" w:rsidR="00CA3863" w:rsidRPr="003002C1" w:rsidRDefault="00CA3863" w:rsidP="00CA3863">
      <w:pPr>
        <w:pStyle w:val="TipText"/>
        <w:jc w:val="center"/>
        <w:rPr>
          <w:rFonts w:ascii="Times New Roman" w:hAnsi="Times New Roman" w:cs="Times New Roman"/>
          <w:i w:val="0"/>
          <w:iCs w:val="0"/>
          <w:color w:val="auto"/>
          <w:sz w:val="24"/>
          <w:szCs w:val="24"/>
        </w:rPr>
      </w:pPr>
      <w:r w:rsidRPr="003002C1">
        <w:rPr>
          <w:rFonts w:ascii="Times New Roman" w:hAnsi="Times New Roman" w:cs="Times New Roman"/>
          <w:i w:val="0"/>
          <w:iCs w:val="0"/>
          <w:color w:val="auto"/>
          <w:sz w:val="24"/>
          <w:szCs w:val="24"/>
        </w:rPr>
        <w:t>χ2 (</w:t>
      </w:r>
      <w:proofErr w:type="gramStart"/>
      <w:r w:rsidRPr="003002C1">
        <w:rPr>
          <w:rFonts w:ascii="Times New Roman" w:hAnsi="Times New Roman" w:cs="Times New Roman"/>
          <w:i w:val="0"/>
          <w:iCs w:val="0"/>
          <w:color w:val="auto"/>
          <w:sz w:val="24"/>
          <w:szCs w:val="24"/>
        </w:rPr>
        <w:t>9,N</w:t>
      </w:r>
      <w:proofErr w:type="gramEnd"/>
      <w:r w:rsidRPr="003002C1">
        <w:rPr>
          <w:rFonts w:ascii="Times New Roman" w:hAnsi="Times New Roman" w:cs="Times New Roman"/>
          <w:i w:val="0"/>
          <w:iCs w:val="0"/>
          <w:color w:val="auto"/>
          <w:sz w:val="24"/>
          <w:szCs w:val="24"/>
        </w:rPr>
        <w:t>=160)=11.74; (p&gt;.05) r=.188</w:t>
      </w:r>
    </w:p>
    <w:p w14:paraId="4710972D" w14:textId="383A099D" w:rsidR="00CA3863" w:rsidRPr="003002C1" w:rsidRDefault="00CA3863" w:rsidP="00CA3863">
      <w:pPr>
        <w:pStyle w:val="TipText"/>
        <w:jc w:val="both"/>
        <w:rPr>
          <w:rFonts w:ascii="Times New Roman" w:hAnsi="Times New Roman" w:cs="Times New Roman"/>
          <w:i w:val="0"/>
          <w:iCs w:val="0"/>
          <w:color w:val="auto"/>
          <w:sz w:val="24"/>
          <w:szCs w:val="24"/>
        </w:rPr>
      </w:pPr>
      <w:r w:rsidRPr="003002C1">
        <w:rPr>
          <w:rFonts w:ascii="Times New Roman" w:hAnsi="Times New Roman" w:cs="Times New Roman"/>
          <w:i w:val="0"/>
          <w:iCs w:val="0"/>
          <w:color w:val="auto"/>
          <w:sz w:val="24"/>
          <w:szCs w:val="24"/>
        </w:rPr>
        <w:t xml:space="preserve">The following n=160 depicts those that FTA by risk score. </w:t>
      </w:r>
      <w:r w:rsidR="00E42FAB">
        <w:rPr>
          <w:rFonts w:ascii="Times New Roman" w:hAnsi="Times New Roman" w:cs="Times New Roman"/>
          <w:i w:val="0"/>
          <w:iCs w:val="0"/>
          <w:color w:val="auto"/>
          <w:sz w:val="24"/>
          <w:szCs w:val="24"/>
        </w:rPr>
        <w:t>Figure</w:t>
      </w:r>
      <w:r w:rsidRPr="003002C1">
        <w:rPr>
          <w:rFonts w:ascii="Times New Roman" w:hAnsi="Times New Roman" w:cs="Times New Roman"/>
          <w:i w:val="0"/>
          <w:iCs w:val="0"/>
          <w:color w:val="auto"/>
          <w:sz w:val="24"/>
          <w:szCs w:val="24"/>
        </w:rPr>
        <w:t xml:space="preserve"> </w:t>
      </w:r>
      <w:r w:rsidR="00C80D46">
        <w:rPr>
          <w:rFonts w:ascii="Times New Roman" w:hAnsi="Times New Roman" w:cs="Times New Roman"/>
          <w:i w:val="0"/>
          <w:iCs w:val="0"/>
          <w:color w:val="auto"/>
          <w:sz w:val="24"/>
          <w:szCs w:val="24"/>
        </w:rPr>
        <w:t>6</w:t>
      </w:r>
      <w:r w:rsidRPr="003002C1">
        <w:rPr>
          <w:rFonts w:ascii="Times New Roman" w:hAnsi="Times New Roman" w:cs="Times New Roman"/>
          <w:i w:val="0"/>
          <w:iCs w:val="0"/>
          <w:color w:val="auto"/>
          <w:sz w:val="24"/>
          <w:szCs w:val="24"/>
        </w:rPr>
        <w:t xml:space="preserve"> demonstrates the FTA rate by risk score for the population released on pretrial supervision. </w:t>
      </w:r>
      <w:r w:rsidR="00FC66D7">
        <w:rPr>
          <w:rFonts w:ascii="Times New Roman" w:hAnsi="Times New Roman" w:cs="Times New Roman"/>
          <w:i w:val="0"/>
          <w:iCs w:val="0"/>
          <w:color w:val="auto"/>
          <w:sz w:val="24"/>
          <w:szCs w:val="24"/>
        </w:rPr>
        <w:t>It was</w:t>
      </w:r>
      <w:r w:rsidRPr="003002C1">
        <w:rPr>
          <w:rFonts w:ascii="Times New Roman" w:hAnsi="Times New Roman" w:cs="Times New Roman"/>
          <w:i w:val="0"/>
          <w:iCs w:val="0"/>
          <w:color w:val="auto"/>
          <w:sz w:val="24"/>
          <w:szCs w:val="24"/>
        </w:rPr>
        <w:t xml:space="preserve"> observe</w:t>
      </w:r>
      <w:r w:rsidR="00FC66D7">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that those who scored 0-2 ha</w:t>
      </w:r>
      <w:r w:rsidR="009E6CA1">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zero FTA rate. While those who scored three ha</w:t>
      </w:r>
      <w:r w:rsidR="007A7C78">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20.51% FTA rate, those who scored four h</w:t>
      </w:r>
      <w:r w:rsidR="007A7C78">
        <w:rPr>
          <w:rFonts w:ascii="Times New Roman" w:hAnsi="Times New Roman" w:cs="Times New Roman"/>
          <w:i w:val="0"/>
          <w:iCs w:val="0"/>
          <w:color w:val="auto"/>
          <w:sz w:val="24"/>
          <w:szCs w:val="24"/>
        </w:rPr>
        <w:t>ad</w:t>
      </w:r>
      <w:r w:rsidRPr="003002C1">
        <w:rPr>
          <w:rFonts w:ascii="Times New Roman" w:hAnsi="Times New Roman" w:cs="Times New Roman"/>
          <w:i w:val="0"/>
          <w:iCs w:val="0"/>
          <w:color w:val="auto"/>
          <w:sz w:val="24"/>
          <w:szCs w:val="24"/>
        </w:rPr>
        <w:t xml:space="preserve"> a 25% FTA rate, those who scored five ha</w:t>
      </w:r>
      <w:r w:rsidR="007A7C78">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24.44% FTA</w:t>
      </w:r>
      <w:r w:rsidR="007A7C78">
        <w:rPr>
          <w:rFonts w:ascii="Times New Roman" w:hAnsi="Times New Roman" w:cs="Times New Roman"/>
          <w:i w:val="0"/>
          <w:iCs w:val="0"/>
          <w:color w:val="auto"/>
          <w:sz w:val="24"/>
          <w:szCs w:val="24"/>
        </w:rPr>
        <w:t xml:space="preserve"> rate</w:t>
      </w:r>
      <w:r w:rsidRPr="003002C1">
        <w:rPr>
          <w:rFonts w:ascii="Times New Roman" w:hAnsi="Times New Roman" w:cs="Times New Roman"/>
          <w:i w:val="0"/>
          <w:iCs w:val="0"/>
          <w:color w:val="auto"/>
          <w:sz w:val="24"/>
          <w:szCs w:val="24"/>
        </w:rPr>
        <w:t>, those who scored six ha</w:t>
      </w:r>
      <w:r w:rsidR="009E6CA1">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50% FTA rate, those who scored seven ha</w:t>
      </w:r>
      <w:r w:rsidR="009E6CA1">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w:t>
      </w:r>
      <w:r w:rsidR="00732B2D">
        <w:rPr>
          <w:rFonts w:ascii="Times New Roman" w:hAnsi="Times New Roman" w:cs="Times New Roman"/>
          <w:i w:val="0"/>
          <w:iCs w:val="0"/>
          <w:color w:val="auto"/>
          <w:sz w:val="24"/>
          <w:szCs w:val="24"/>
        </w:rPr>
        <w:t>zero</w:t>
      </w:r>
      <w:r w:rsidRPr="003002C1">
        <w:rPr>
          <w:rFonts w:ascii="Times New Roman" w:hAnsi="Times New Roman" w:cs="Times New Roman"/>
          <w:i w:val="0"/>
          <w:iCs w:val="0"/>
          <w:color w:val="auto"/>
          <w:sz w:val="24"/>
          <w:szCs w:val="24"/>
        </w:rPr>
        <w:t xml:space="preserve"> FTA rate, those who scored eight ha</w:t>
      </w:r>
      <w:r w:rsidR="009E6CA1">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33.33% FTA rate, and those who scored nine ha</w:t>
      </w:r>
      <w:r w:rsidR="009E6CA1">
        <w:rPr>
          <w:rFonts w:ascii="Times New Roman" w:hAnsi="Times New Roman" w:cs="Times New Roman"/>
          <w:i w:val="0"/>
          <w:iCs w:val="0"/>
          <w:color w:val="auto"/>
          <w:sz w:val="24"/>
          <w:szCs w:val="24"/>
        </w:rPr>
        <w:t>d</w:t>
      </w:r>
      <w:r w:rsidRPr="003002C1">
        <w:rPr>
          <w:rFonts w:ascii="Times New Roman" w:hAnsi="Times New Roman" w:cs="Times New Roman"/>
          <w:i w:val="0"/>
          <w:iCs w:val="0"/>
          <w:color w:val="auto"/>
          <w:sz w:val="24"/>
          <w:szCs w:val="24"/>
        </w:rPr>
        <w:t xml:space="preserve"> a 50% FTA rate. Although generally, </w:t>
      </w:r>
      <w:r w:rsidR="009E6CA1">
        <w:rPr>
          <w:rFonts w:ascii="Times New Roman" w:hAnsi="Times New Roman" w:cs="Times New Roman"/>
          <w:i w:val="0"/>
          <w:iCs w:val="0"/>
          <w:color w:val="auto"/>
          <w:sz w:val="24"/>
          <w:szCs w:val="24"/>
        </w:rPr>
        <w:t>it was</w:t>
      </w:r>
      <w:r w:rsidRPr="003002C1">
        <w:rPr>
          <w:rFonts w:ascii="Times New Roman" w:hAnsi="Times New Roman" w:cs="Times New Roman"/>
          <w:i w:val="0"/>
          <w:iCs w:val="0"/>
          <w:color w:val="auto"/>
          <w:sz w:val="24"/>
          <w:szCs w:val="24"/>
        </w:rPr>
        <w:t xml:space="preserve"> </w:t>
      </w:r>
      <w:r w:rsidR="00C35E19" w:rsidRPr="003002C1">
        <w:rPr>
          <w:rFonts w:ascii="Times New Roman" w:hAnsi="Times New Roman" w:cs="Times New Roman"/>
          <w:i w:val="0"/>
          <w:iCs w:val="0"/>
          <w:color w:val="auto"/>
          <w:sz w:val="24"/>
          <w:szCs w:val="24"/>
        </w:rPr>
        <w:t>observe</w:t>
      </w:r>
      <w:r w:rsidR="00C35E19">
        <w:rPr>
          <w:rFonts w:ascii="Times New Roman" w:hAnsi="Times New Roman" w:cs="Times New Roman"/>
          <w:i w:val="0"/>
          <w:iCs w:val="0"/>
          <w:color w:val="auto"/>
          <w:sz w:val="24"/>
          <w:szCs w:val="24"/>
        </w:rPr>
        <w:t>d</w:t>
      </w:r>
      <w:r w:rsidR="00C35E19" w:rsidRPr="003002C1">
        <w:rPr>
          <w:rFonts w:ascii="Times New Roman" w:hAnsi="Times New Roman" w:cs="Times New Roman"/>
          <w:i w:val="0"/>
          <w:iCs w:val="0"/>
          <w:color w:val="auto"/>
          <w:sz w:val="24"/>
          <w:szCs w:val="24"/>
        </w:rPr>
        <w:t xml:space="preserve"> </w:t>
      </w:r>
      <w:r w:rsidR="00C35E19">
        <w:rPr>
          <w:rFonts w:ascii="Times New Roman" w:hAnsi="Times New Roman" w:cs="Times New Roman"/>
          <w:i w:val="0"/>
          <w:iCs w:val="0"/>
          <w:color w:val="auto"/>
          <w:sz w:val="24"/>
          <w:szCs w:val="24"/>
        </w:rPr>
        <w:t>that</w:t>
      </w:r>
      <w:r w:rsidR="009E6CA1">
        <w:rPr>
          <w:rFonts w:ascii="Times New Roman" w:hAnsi="Times New Roman" w:cs="Times New Roman"/>
          <w:i w:val="0"/>
          <w:iCs w:val="0"/>
          <w:color w:val="auto"/>
          <w:sz w:val="24"/>
          <w:szCs w:val="24"/>
        </w:rPr>
        <w:t xml:space="preserve"> there was </w:t>
      </w:r>
      <w:r w:rsidRPr="003002C1">
        <w:rPr>
          <w:rFonts w:ascii="Times New Roman" w:hAnsi="Times New Roman" w:cs="Times New Roman"/>
          <w:i w:val="0"/>
          <w:iCs w:val="0"/>
          <w:color w:val="auto"/>
          <w:sz w:val="24"/>
          <w:szCs w:val="24"/>
        </w:rPr>
        <w:t xml:space="preserve">an increase in FTA rates, </w:t>
      </w:r>
      <w:r w:rsidR="006310A9">
        <w:rPr>
          <w:rFonts w:ascii="Times New Roman" w:hAnsi="Times New Roman" w:cs="Times New Roman"/>
          <w:i w:val="0"/>
          <w:iCs w:val="0"/>
          <w:color w:val="auto"/>
          <w:sz w:val="24"/>
          <w:szCs w:val="24"/>
        </w:rPr>
        <w:t xml:space="preserve">there were no </w:t>
      </w:r>
      <w:r w:rsidR="006310A9" w:rsidRPr="003002C1">
        <w:rPr>
          <w:rFonts w:ascii="Times New Roman" w:hAnsi="Times New Roman" w:cs="Times New Roman"/>
          <w:i w:val="0"/>
          <w:iCs w:val="0"/>
          <w:color w:val="auto"/>
          <w:sz w:val="24"/>
          <w:szCs w:val="24"/>
        </w:rPr>
        <w:t>FTAs</w:t>
      </w:r>
      <w:r w:rsidRPr="003002C1">
        <w:rPr>
          <w:rFonts w:ascii="Times New Roman" w:hAnsi="Times New Roman" w:cs="Times New Roman"/>
          <w:i w:val="0"/>
          <w:iCs w:val="0"/>
          <w:color w:val="auto"/>
          <w:sz w:val="24"/>
          <w:szCs w:val="24"/>
        </w:rPr>
        <w:t xml:space="preserve"> for those who scored a seven on the risk assessment. The chi-square test was conducted to test if the increases in FTA rates across ORAS-PAT assessment scores are statistically significant (χ2 (9) =11.74 (p=.228)</w:t>
      </w:r>
      <w:r w:rsidR="0048429F">
        <w:rPr>
          <w:rFonts w:ascii="Times New Roman" w:hAnsi="Times New Roman" w:cs="Times New Roman"/>
          <w:i w:val="0"/>
          <w:iCs w:val="0"/>
          <w:color w:val="auto"/>
          <w:sz w:val="24"/>
          <w:szCs w:val="24"/>
        </w:rPr>
        <w:t>, the test</w:t>
      </w:r>
      <w:r w:rsidRPr="003002C1">
        <w:rPr>
          <w:rFonts w:ascii="Times New Roman" w:hAnsi="Times New Roman" w:cs="Times New Roman"/>
          <w:i w:val="0"/>
          <w:iCs w:val="0"/>
          <w:color w:val="auto"/>
          <w:sz w:val="24"/>
          <w:szCs w:val="24"/>
        </w:rPr>
        <w:t xml:space="preserve"> indicated that the relationship between FTA rates and risk score </w:t>
      </w:r>
      <w:r w:rsidR="001A620D">
        <w:rPr>
          <w:rFonts w:ascii="Times New Roman" w:hAnsi="Times New Roman" w:cs="Times New Roman"/>
          <w:i w:val="0"/>
          <w:iCs w:val="0"/>
          <w:color w:val="auto"/>
          <w:sz w:val="24"/>
          <w:szCs w:val="24"/>
        </w:rPr>
        <w:t>were</w:t>
      </w:r>
      <w:r w:rsidRPr="003002C1">
        <w:rPr>
          <w:rFonts w:ascii="Times New Roman" w:hAnsi="Times New Roman" w:cs="Times New Roman"/>
          <w:i w:val="0"/>
          <w:iCs w:val="0"/>
          <w:color w:val="auto"/>
          <w:sz w:val="24"/>
          <w:szCs w:val="24"/>
        </w:rPr>
        <w:t xml:space="preserve"> not statistically significant. The strength association of Pearson’s r are the following 0 is none, .01-09 is a weak association, .10 - .29 is a moderate association, .30 - .99 is evidence of strong association, and a perfect association is 1. The Pearson’s r of .188 indicates a moderate association between the risk score and FTA.</w:t>
      </w:r>
    </w:p>
    <w:p w14:paraId="52E733BC" w14:textId="77777777" w:rsidR="00A438CC" w:rsidRDefault="00A438CC" w:rsidP="00CA3863">
      <w:pPr>
        <w:pStyle w:val="TipText"/>
        <w:jc w:val="both"/>
        <w:rPr>
          <w:rFonts w:ascii="Times New Roman" w:hAnsi="Times New Roman" w:cs="Times New Roman"/>
          <w:b/>
          <w:bCs/>
          <w:i w:val="0"/>
          <w:iCs w:val="0"/>
          <w:color w:val="auto"/>
          <w:sz w:val="24"/>
          <w:szCs w:val="24"/>
        </w:rPr>
      </w:pPr>
    </w:p>
    <w:p w14:paraId="7261D59D" w14:textId="1EB299D7" w:rsidR="002F4F46" w:rsidRDefault="002F4F46" w:rsidP="00CA3863">
      <w:pPr>
        <w:pStyle w:val="TipText"/>
        <w:jc w:val="both"/>
        <w:rPr>
          <w:rFonts w:ascii="Times New Roman" w:hAnsi="Times New Roman" w:cs="Times New Roman"/>
          <w:b/>
          <w:bCs/>
          <w:i w:val="0"/>
          <w:iCs w:val="0"/>
          <w:color w:val="auto"/>
          <w:sz w:val="24"/>
          <w:szCs w:val="24"/>
        </w:rPr>
      </w:pPr>
    </w:p>
    <w:p w14:paraId="44C48860" w14:textId="77777777" w:rsidR="002F4F46" w:rsidRDefault="002F4F46" w:rsidP="00CA3863">
      <w:pPr>
        <w:pStyle w:val="TipText"/>
        <w:jc w:val="both"/>
        <w:rPr>
          <w:rFonts w:ascii="Times New Roman" w:hAnsi="Times New Roman" w:cs="Times New Roman"/>
          <w:b/>
          <w:bCs/>
          <w:i w:val="0"/>
          <w:iCs w:val="0"/>
          <w:color w:val="auto"/>
          <w:sz w:val="24"/>
          <w:szCs w:val="24"/>
        </w:rPr>
      </w:pPr>
    </w:p>
    <w:p w14:paraId="32595488" w14:textId="77777777" w:rsidR="00A438CC" w:rsidRDefault="00A438CC" w:rsidP="00CA3863">
      <w:pPr>
        <w:pStyle w:val="TipText"/>
        <w:jc w:val="both"/>
        <w:rPr>
          <w:rFonts w:ascii="Times New Roman" w:hAnsi="Times New Roman" w:cs="Times New Roman"/>
          <w:b/>
          <w:bCs/>
          <w:i w:val="0"/>
          <w:iCs w:val="0"/>
          <w:color w:val="auto"/>
          <w:sz w:val="24"/>
          <w:szCs w:val="24"/>
        </w:rPr>
      </w:pPr>
    </w:p>
    <w:p w14:paraId="07B9379D" w14:textId="77777777" w:rsidR="00A438CC" w:rsidRDefault="00A438CC" w:rsidP="00CA3863">
      <w:pPr>
        <w:pStyle w:val="TipText"/>
        <w:jc w:val="both"/>
        <w:rPr>
          <w:rFonts w:ascii="Times New Roman" w:hAnsi="Times New Roman" w:cs="Times New Roman"/>
          <w:b/>
          <w:bCs/>
          <w:i w:val="0"/>
          <w:iCs w:val="0"/>
          <w:color w:val="auto"/>
          <w:sz w:val="24"/>
          <w:szCs w:val="24"/>
        </w:rPr>
      </w:pPr>
    </w:p>
    <w:p w14:paraId="2C65F15D" w14:textId="77777777" w:rsidR="00A438CC" w:rsidRDefault="00A438CC" w:rsidP="00CA3863">
      <w:pPr>
        <w:pStyle w:val="TipText"/>
        <w:jc w:val="both"/>
        <w:rPr>
          <w:rFonts w:ascii="Times New Roman" w:hAnsi="Times New Roman" w:cs="Times New Roman"/>
          <w:b/>
          <w:bCs/>
          <w:i w:val="0"/>
          <w:iCs w:val="0"/>
          <w:color w:val="auto"/>
          <w:sz w:val="24"/>
          <w:szCs w:val="24"/>
        </w:rPr>
      </w:pPr>
    </w:p>
    <w:p w14:paraId="628484DE" w14:textId="482A6E60" w:rsidR="00CA3863" w:rsidRPr="003002C1" w:rsidRDefault="00E42FAB" w:rsidP="00CA3863">
      <w:pPr>
        <w:pStyle w:val="TipText"/>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lastRenderedPageBreak/>
        <w:t>Figure</w:t>
      </w:r>
      <w:r w:rsidR="00CA3863" w:rsidRPr="003002C1">
        <w:rPr>
          <w:rFonts w:ascii="Times New Roman" w:hAnsi="Times New Roman" w:cs="Times New Roman"/>
          <w:b/>
          <w:bCs/>
          <w:i w:val="0"/>
          <w:iCs w:val="0"/>
          <w:color w:val="auto"/>
          <w:sz w:val="24"/>
          <w:szCs w:val="24"/>
        </w:rPr>
        <w:t xml:space="preserve"> </w:t>
      </w:r>
      <w:r w:rsidR="00F50BB8">
        <w:rPr>
          <w:rFonts w:ascii="Times New Roman" w:hAnsi="Times New Roman" w:cs="Times New Roman"/>
          <w:b/>
          <w:bCs/>
          <w:i w:val="0"/>
          <w:iCs w:val="0"/>
          <w:color w:val="auto"/>
          <w:sz w:val="24"/>
          <w:szCs w:val="24"/>
        </w:rPr>
        <w:t>7</w:t>
      </w:r>
      <w:r w:rsidR="00CA3863" w:rsidRPr="003002C1">
        <w:rPr>
          <w:rFonts w:ascii="Times New Roman" w:hAnsi="Times New Roman" w:cs="Times New Roman"/>
          <w:b/>
          <w:bCs/>
          <w:i w:val="0"/>
          <w:iCs w:val="0"/>
          <w:color w:val="auto"/>
          <w:sz w:val="24"/>
          <w:szCs w:val="24"/>
        </w:rPr>
        <w:t xml:space="preserve">: FTA by risk level </w:t>
      </w:r>
    </w:p>
    <w:p w14:paraId="10EA2B97" w14:textId="77777777" w:rsidR="00CA3863" w:rsidRPr="003002C1" w:rsidRDefault="00CA3863" w:rsidP="00CA3863">
      <w:pPr>
        <w:pStyle w:val="TipText"/>
        <w:jc w:val="center"/>
        <w:rPr>
          <w:rFonts w:ascii="Times New Roman" w:hAnsi="Times New Roman" w:cs="Times New Roman"/>
          <w:i w:val="0"/>
          <w:iCs w:val="0"/>
          <w:color w:val="auto"/>
          <w:sz w:val="24"/>
          <w:szCs w:val="24"/>
        </w:rPr>
      </w:pPr>
      <w:r w:rsidRPr="003002C1">
        <w:rPr>
          <w:rFonts w:ascii="Times New Roman" w:hAnsi="Times New Roman" w:cs="Times New Roman"/>
          <w:i w:val="0"/>
          <w:iCs w:val="0"/>
          <w:noProof/>
          <w:color w:val="auto"/>
          <w:sz w:val="24"/>
          <w:szCs w:val="24"/>
        </w:rPr>
        <w:drawing>
          <wp:inline distT="0" distB="0" distL="0" distR="0" wp14:anchorId="510F3C75" wp14:editId="508F3888">
            <wp:extent cx="4191000" cy="2476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970BC3" w14:textId="77777777" w:rsidR="00CA3863" w:rsidRPr="003002C1" w:rsidRDefault="00CA3863" w:rsidP="00CA3863">
      <w:pPr>
        <w:pStyle w:val="TipText"/>
        <w:jc w:val="center"/>
        <w:rPr>
          <w:rFonts w:ascii="Times New Roman" w:hAnsi="Times New Roman" w:cs="Times New Roman"/>
          <w:i w:val="0"/>
          <w:iCs w:val="0"/>
          <w:color w:val="auto"/>
          <w:sz w:val="24"/>
          <w:szCs w:val="24"/>
        </w:rPr>
      </w:pPr>
      <w:r w:rsidRPr="003002C1">
        <w:rPr>
          <w:rFonts w:ascii="Times New Roman" w:hAnsi="Times New Roman" w:cs="Times New Roman"/>
          <w:color w:val="auto"/>
          <w:sz w:val="24"/>
          <w:szCs w:val="24"/>
          <w:shd w:val="clear" w:color="auto" w:fill="FFFFFF"/>
        </w:rPr>
        <w:t>χ2</w:t>
      </w:r>
      <w:r w:rsidRPr="003002C1">
        <w:rPr>
          <w:rFonts w:ascii="Times New Roman" w:hAnsi="Times New Roman" w:cs="Times New Roman"/>
          <w:i w:val="0"/>
          <w:iCs w:val="0"/>
          <w:color w:val="auto"/>
          <w:sz w:val="24"/>
          <w:szCs w:val="24"/>
        </w:rPr>
        <w:t xml:space="preserve"> (</w:t>
      </w:r>
      <w:proofErr w:type="gramStart"/>
      <w:r w:rsidRPr="003002C1">
        <w:rPr>
          <w:rFonts w:ascii="Times New Roman" w:hAnsi="Times New Roman" w:cs="Times New Roman"/>
          <w:i w:val="0"/>
          <w:iCs w:val="0"/>
          <w:color w:val="auto"/>
          <w:sz w:val="24"/>
          <w:szCs w:val="24"/>
        </w:rPr>
        <w:t>2)=</w:t>
      </w:r>
      <w:proofErr w:type="gramEnd"/>
      <w:r w:rsidRPr="003002C1">
        <w:rPr>
          <w:rFonts w:ascii="Times New Roman" w:hAnsi="Times New Roman" w:cs="Times New Roman"/>
          <w:i w:val="0"/>
          <w:iCs w:val="0"/>
          <w:color w:val="auto"/>
          <w:sz w:val="24"/>
          <w:szCs w:val="24"/>
        </w:rPr>
        <w:t xml:space="preserve"> 8.0516 (p&lt;.01)  Gamma=.6282</w:t>
      </w:r>
    </w:p>
    <w:p w14:paraId="77AAEB63" w14:textId="399FEAEA" w:rsidR="00CA3863" w:rsidRPr="003002C1" w:rsidRDefault="00E42FAB" w:rsidP="00CA3863">
      <w:pPr>
        <w:pStyle w:val="TipText"/>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Figure</w:t>
      </w:r>
      <w:r w:rsidR="00CA3863" w:rsidRPr="003002C1">
        <w:rPr>
          <w:rFonts w:ascii="Times New Roman" w:hAnsi="Times New Roman" w:cs="Times New Roman"/>
          <w:i w:val="0"/>
          <w:iCs w:val="0"/>
          <w:color w:val="auto"/>
          <w:sz w:val="24"/>
          <w:szCs w:val="24"/>
        </w:rPr>
        <w:t xml:space="preserve"> </w:t>
      </w:r>
      <w:r w:rsidR="0081106E">
        <w:rPr>
          <w:rFonts w:ascii="Times New Roman" w:hAnsi="Times New Roman" w:cs="Times New Roman"/>
          <w:i w:val="0"/>
          <w:iCs w:val="0"/>
          <w:color w:val="auto"/>
          <w:sz w:val="24"/>
          <w:szCs w:val="24"/>
        </w:rPr>
        <w:t>7</w:t>
      </w:r>
      <w:r w:rsidR="00CA3863" w:rsidRPr="003002C1">
        <w:rPr>
          <w:rFonts w:ascii="Times New Roman" w:hAnsi="Times New Roman" w:cs="Times New Roman"/>
          <w:i w:val="0"/>
          <w:iCs w:val="0"/>
          <w:color w:val="auto"/>
          <w:sz w:val="24"/>
          <w:szCs w:val="24"/>
        </w:rPr>
        <w:t xml:space="preserve"> demonstrates that FTA rates </w:t>
      </w:r>
      <w:r w:rsidR="006D75BD">
        <w:rPr>
          <w:rFonts w:ascii="Times New Roman" w:hAnsi="Times New Roman" w:cs="Times New Roman"/>
          <w:i w:val="0"/>
          <w:iCs w:val="0"/>
          <w:color w:val="auto"/>
          <w:sz w:val="24"/>
          <w:szCs w:val="24"/>
        </w:rPr>
        <w:t>were</w:t>
      </w:r>
      <w:r w:rsidR="00CA3863" w:rsidRPr="003002C1">
        <w:rPr>
          <w:rFonts w:ascii="Times New Roman" w:hAnsi="Times New Roman" w:cs="Times New Roman"/>
          <w:i w:val="0"/>
          <w:iCs w:val="0"/>
          <w:color w:val="auto"/>
          <w:sz w:val="24"/>
          <w:szCs w:val="24"/>
        </w:rPr>
        <w:t xml:space="preserve"> highest for moderate and high-risk levels and these increases </w:t>
      </w:r>
      <w:r w:rsidR="006D75BD">
        <w:rPr>
          <w:rFonts w:ascii="Times New Roman" w:hAnsi="Times New Roman" w:cs="Times New Roman"/>
          <w:i w:val="0"/>
          <w:iCs w:val="0"/>
          <w:color w:val="auto"/>
          <w:sz w:val="24"/>
          <w:szCs w:val="24"/>
        </w:rPr>
        <w:t>were</w:t>
      </w:r>
      <w:r w:rsidR="00CA3863" w:rsidRPr="003002C1">
        <w:rPr>
          <w:rFonts w:ascii="Times New Roman" w:hAnsi="Times New Roman" w:cs="Times New Roman"/>
          <w:i w:val="0"/>
          <w:iCs w:val="0"/>
          <w:color w:val="auto"/>
          <w:sz w:val="24"/>
          <w:szCs w:val="24"/>
        </w:rPr>
        <w:t xml:space="preserve"> statistically significant. The chi-square test indicates that the rise in FTA rates across risk levels is statistically significant, unlike individual risk scores. The gamma coefficient measures the strength of the relationship between ORAS-PAT scores and FTA, ranging from </w:t>
      </w:r>
      <w:r w:rsidR="00370A81">
        <w:rPr>
          <w:rFonts w:ascii="Times New Roman" w:hAnsi="Times New Roman" w:cs="Times New Roman"/>
          <w:i w:val="0"/>
          <w:iCs w:val="0"/>
          <w:color w:val="auto"/>
          <w:sz w:val="24"/>
          <w:szCs w:val="24"/>
        </w:rPr>
        <w:t>-</w:t>
      </w:r>
      <w:r w:rsidR="00CA3863" w:rsidRPr="003002C1">
        <w:rPr>
          <w:rFonts w:ascii="Times New Roman" w:hAnsi="Times New Roman" w:cs="Times New Roman"/>
          <w:i w:val="0"/>
          <w:iCs w:val="0"/>
          <w:color w:val="auto"/>
          <w:sz w:val="24"/>
          <w:szCs w:val="24"/>
        </w:rPr>
        <w:t xml:space="preserve">1 to +1. The gamma for risk scores was .3203 while the gamma for risk level was .6282; therefore, the risk level increases the chances of correct classification on FTA. The gamma coefficient measures the strength relationship of two ordinal variables. The measurement of a gamma coefficient is </w:t>
      </w:r>
      <w:proofErr w:type="gramStart"/>
      <w:r w:rsidR="002267FF">
        <w:rPr>
          <w:rFonts w:ascii="Times New Roman" w:hAnsi="Times New Roman" w:cs="Times New Roman"/>
          <w:i w:val="0"/>
          <w:iCs w:val="0"/>
          <w:color w:val="auto"/>
          <w:sz w:val="24"/>
          <w:szCs w:val="24"/>
        </w:rPr>
        <w:t>similar to</w:t>
      </w:r>
      <w:proofErr w:type="gramEnd"/>
      <w:r w:rsidR="00EF4EF7">
        <w:rPr>
          <w:rFonts w:ascii="Times New Roman" w:hAnsi="Times New Roman" w:cs="Times New Roman"/>
          <w:i w:val="0"/>
          <w:iCs w:val="0"/>
          <w:color w:val="auto"/>
          <w:sz w:val="24"/>
          <w:szCs w:val="24"/>
        </w:rPr>
        <w:t xml:space="preserve"> the </w:t>
      </w:r>
      <w:r w:rsidR="00CA3863" w:rsidRPr="003002C1">
        <w:rPr>
          <w:rFonts w:ascii="Times New Roman" w:hAnsi="Times New Roman" w:cs="Times New Roman"/>
          <w:i w:val="0"/>
          <w:iCs w:val="0"/>
          <w:color w:val="auto"/>
          <w:sz w:val="24"/>
          <w:szCs w:val="24"/>
        </w:rPr>
        <w:t>Pearson’s r</w:t>
      </w:r>
      <w:r w:rsidR="00086D25">
        <w:rPr>
          <w:rFonts w:ascii="Times New Roman" w:hAnsi="Times New Roman" w:cs="Times New Roman"/>
          <w:i w:val="0"/>
          <w:iCs w:val="0"/>
          <w:color w:val="auto"/>
          <w:sz w:val="24"/>
          <w:szCs w:val="24"/>
        </w:rPr>
        <w:t xml:space="preserve"> measurement</w:t>
      </w:r>
      <w:r w:rsidR="00CA3863" w:rsidRPr="003002C1">
        <w:rPr>
          <w:rFonts w:ascii="Times New Roman" w:hAnsi="Times New Roman" w:cs="Times New Roman"/>
          <w:i w:val="0"/>
          <w:iCs w:val="0"/>
          <w:color w:val="auto"/>
          <w:sz w:val="24"/>
          <w:szCs w:val="24"/>
        </w:rPr>
        <w:t>. The gamma coefficient is measured as the following 0 is none, .01-09 is a weak association, .10 - .29 is a moderate association, .30 - .99 is evidence of strong association, and a perfect association is 1. The different use of a gamma coefficient versus Pearson’s r is because the risk level categories are an ordinal value rather than a continuous number. The gamma coefficient measuring the relationship strength between risk levels and FTA is .6282, indicating a strong association. The gamma coefficient was tested for risk scores yielding a .3203 gamma coefficient, a moderate association. However, because risk scores are continuous, a better test is the Pearson’s r test. Both gamma coefficients were provided to highlight further that even if testing differently, risk levels are a stronger association with FTA (χ2 (2)</w:t>
      </w:r>
      <w:r w:rsidR="00DB3BE9">
        <w:rPr>
          <w:rFonts w:ascii="Times New Roman" w:hAnsi="Times New Roman" w:cs="Times New Roman"/>
          <w:i w:val="0"/>
          <w:iCs w:val="0"/>
          <w:color w:val="auto"/>
          <w:sz w:val="24"/>
          <w:szCs w:val="24"/>
        </w:rPr>
        <w:t xml:space="preserve"> </w:t>
      </w:r>
      <w:r w:rsidR="00CA3863" w:rsidRPr="003002C1">
        <w:rPr>
          <w:rFonts w:ascii="Times New Roman" w:hAnsi="Times New Roman" w:cs="Times New Roman"/>
          <w:i w:val="0"/>
          <w:iCs w:val="0"/>
          <w:color w:val="auto"/>
          <w:sz w:val="24"/>
          <w:szCs w:val="24"/>
        </w:rPr>
        <w:t>= 8.0516 (p = 0.018)).</w:t>
      </w:r>
    </w:p>
    <w:p w14:paraId="731533F8" w14:textId="627FFF29" w:rsidR="00CA3863" w:rsidRPr="003002C1" w:rsidRDefault="00CA3863" w:rsidP="00CA3863">
      <w:pPr>
        <w:pStyle w:val="TipText"/>
        <w:jc w:val="both"/>
        <w:rPr>
          <w:rFonts w:ascii="Times New Roman" w:hAnsi="Times New Roman" w:cs="Times New Roman"/>
          <w:i w:val="0"/>
          <w:iCs w:val="0"/>
          <w:color w:val="auto"/>
          <w:sz w:val="24"/>
          <w:szCs w:val="24"/>
        </w:rPr>
      </w:pPr>
      <w:r w:rsidRPr="003002C1">
        <w:rPr>
          <w:rFonts w:ascii="Times New Roman" w:hAnsi="Times New Roman" w:cs="Times New Roman"/>
          <w:i w:val="0"/>
          <w:iCs w:val="0"/>
          <w:color w:val="auto"/>
          <w:sz w:val="24"/>
          <w:szCs w:val="24"/>
        </w:rPr>
        <w:t xml:space="preserve">In addition to examining the </w:t>
      </w:r>
      <w:r w:rsidR="00201DC3">
        <w:rPr>
          <w:rFonts w:ascii="Times New Roman" w:hAnsi="Times New Roman" w:cs="Times New Roman"/>
          <w:i w:val="0"/>
          <w:iCs w:val="0"/>
          <w:color w:val="auto"/>
          <w:sz w:val="24"/>
          <w:szCs w:val="24"/>
        </w:rPr>
        <w:t xml:space="preserve">failure-to-appear </w:t>
      </w:r>
      <w:r w:rsidRPr="003002C1">
        <w:rPr>
          <w:rFonts w:ascii="Times New Roman" w:hAnsi="Times New Roman" w:cs="Times New Roman"/>
          <w:i w:val="0"/>
          <w:iCs w:val="0"/>
          <w:color w:val="auto"/>
          <w:sz w:val="24"/>
          <w:szCs w:val="24"/>
        </w:rPr>
        <w:t xml:space="preserve">rates among risk scores and risk levels, a logistic regression examined the likelihood to predict FTA as the dependent variable, and independent variables </w:t>
      </w:r>
      <w:r w:rsidR="00B3494F">
        <w:rPr>
          <w:rFonts w:ascii="Times New Roman" w:hAnsi="Times New Roman" w:cs="Times New Roman"/>
          <w:i w:val="0"/>
          <w:iCs w:val="0"/>
          <w:color w:val="auto"/>
          <w:sz w:val="24"/>
          <w:szCs w:val="24"/>
        </w:rPr>
        <w:t>were</w:t>
      </w:r>
      <w:r w:rsidRPr="003002C1">
        <w:rPr>
          <w:rFonts w:ascii="Times New Roman" w:hAnsi="Times New Roman" w:cs="Times New Roman"/>
          <w:i w:val="0"/>
          <w:iCs w:val="0"/>
          <w:color w:val="auto"/>
          <w:sz w:val="24"/>
          <w:szCs w:val="24"/>
        </w:rPr>
        <w:t xml:space="preserve"> risk score, female, Black population, and Latine population. For this model, female, Black, and Latine are </w:t>
      </w:r>
      <w:r w:rsidR="006A6B8D">
        <w:rPr>
          <w:rFonts w:ascii="Times New Roman" w:hAnsi="Times New Roman" w:cs="Times New Roman"/>
          <w:i w:val="0"/>
          <w:iCs w:val="0"/>
          <w:color w:val="auto"/>
          <w:sz w:val="24"/>
          <w:szCs w:val="24"/>
        </w:rPr>
        <w:t>binary</w:t>
      </w:r>
      <w:r w:rsidRPr="003002C1">
        <w:rPr>
          <w:rFonts w:ascii="Times New Roman" w:hAnsi="Times New Roman" w:cs="Times New Roman"/>
          <w:i w:val="0"/>
          <w:iCs w:val="0"/>
          <w:color w:val="auto"/>
          <w:sz w:val="24"/>
          <w:szCs w:val="24"/>
        </w:rPr>
        <w:t xml:space="preserve"> variables. Therefore, if an individual is female, it is captured as one. Likewise, if an individual is Black, it is a one and zero for non-Black. If someone is Latine, it is captured as one for the </w:t>
      </w:r>
      <w:r w:rsidR="006A6B8D">
        <w:rPr>
          <w:rFonts w:ascii="Times New Roman" w:hAnsi="Times New Roman" w:cs="Times New Roman"/>
          <w:i w:val="0"/>
          <w:iCs w:val="0"/>
          <w:color w:val="auto"/>
          <w:sz w:val="24"/>
          <w:szCs w:val="24"/>
        </w:rPr>
        <w:t>binary</w:t>
      </w:r>
      <w:r w:rsidRPr="003002C1">
        <w:rPr>
          <w:rFonts w:ascii="Times New Roman" w:hAnsi="Times New Roman" w:cs="Times New Roman"/>
          <w:i w:val="0"/>
          <w:iCs w:val="0"/>
          <w:color w:val="auto"/>
          <w:sz w:val="24"/>
          <w:szCs w:val="24"/>
        </w:rPr>
        <w:t xml:space="preserve"> variable and zero if non-</w:t>
      </w:r>
      <w:r w:rsidRPr="003002C1">
        <w:rPr>
          <w:rFonts w:ascii="Times New Roman" w:hAnsi="Times New Roman" w:cs="Times New Roman"/>
          <w:i w:val="0"/>
          <w:iCs w:val="0"/>
          <w:color w:val="auto"/>
          <w:sz w:val="24"/>
          <w:szCs w:val="24"/>
        </w:rPr>
        <w:lastRenderedPageBreak/>
        <w:t xml:space="preserve">Latine. Other races such as Asians, Native Americans, and others were not captured because they were very minimal in the pretrial supervision to provide a prediction. </w:t>
      </w:r>
    </w:p>
    <w:p w14:paraId="0F779D5E" w14:textId="07FADD64" w:rsidR="00CA3863" w:rsidRPr="003002C1" w:rsidRDefault="00E65A98" w:rsidP="00CA3863">
      <w:pPr>
        <w:pStyle w:val="TipTex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Table</w:t>
      </w:r>
      <w:r w:rsidR="00CA3863" w:rsidRPr="003002C1">
        <w:rPr>
          <w:rFonts w:ascii="Times New Roman" w:hAnsi="Times New Roman" w:cs="Times New Roman"/>
          <w:b/>
          <w:bCs/>
          <w:i w:val="0"/>
          <w:iCs w:val="0"/>
          <w:color w:val="auto"/>
          <w:sz w:val="24"/>
          <w:szCs w:val="24"/>
        </w:rPr>
        <w:t xml:space="preserve"> </w:t>
      </w:r>
      <w:r w:rsidR="00C1302B">
        <w:rPr>
          <w:rFonts w:ascii="Times New Roman" w:hAnsi="Times New Roman" w:cs="Times New Roman"/>
          <w:b/>
          <w:bCs/>
          <w:i w:val="0"/>
          <w:iCs w:val="0"/>
          <w:color w:val="auto"/>
          <w:sz w:val="24"/>
          <w:szCs w:val="24"/>
        </w:rPr>
        <w:t>14</w:t>
      </w:r>
      <w:r w:rsidR="00CA3863" w:rsidRPr="003002C1">
        <w:rPr>
          <w:rFonts w:ascii="Times New Roman" w:hAnsi="Times New Roman" w:cs="Times New Roman"/>
          <w:b/>
          <w:bCs/>
          <w:i w:val="0"/>
          <w:iCs w:val="0"/>
          <w:color w:val="auto"/>
          <w:sz w:val="24"/>
          <w:szCs w:val="24"/>
        </w:rPr>
        <w:t>: Logit Regression testing failure</w:t>
      </w:r>
      <w:r w:rsidR="00BF7140">
        <w:rPr>
          <w:rFonts w:ascii="Times New Roman" w:hAnsi="Times New Roman" w:cs="Times New Roman"/>
          <w:b/>
          <w:bCs/>
          <w:i w:val="0"/>
          <w:iCs w:val="0"/>
          <w:color w:val="auto"/>
          <w:sz w:val="24"/>
          <w:szCs w:val="24"/>
        </w:rPr>
        <w:t>-</w:t>
      </w:r>
      <w:r w:rsidR="00CA3863" w:rsidRPr="003002C1">
        <w:rPr>
          <w:rFonts w:ascii="Times New Roman" w:hAnsi="Times New Roman" w:cs="Times New Roman"/>
          <w:b/>
          <w:bCs/>
          <w:i w:val="0"/>
          <w:iCs w:val="0"/>
          <w:color w:val="auto"/>
          <w:sz w:val="24"/>
          <w:szCs w:val="24"/>
        </w:rPr>
        <w:t>to</w:t>
      </w:r>
      <w:r w:rsidR="00BF7140">
        <w:rPr>
          <w:rFonts w:ascii="Times New Roman" w:hAnsi="Times New Roman" w:cs="Times New Roman"/>
          <w:b/>
          <w:bCs/>
          <w:i w:val="0"/>
          <w:iCs w:val="0"/>
          <w:color w:val="auto"/>
          <w:sz w:val="24"/>
          <w:szCs w:val="24"/>
        </w:rPr>
        <w:t>-</w:t>
      </w:r>
      <w:r w:rsidR="00CA3863" w:rsidRPr="003002C1">
        <w:rPr>
          <w:rFonts w:ascii="Times New Roman" w:hAnsi="Times New Roman" w:cs="Times New Roman"/>
          <w:b/>
          <w:bCs/>
          <w:i w:val="0"/>
          <w:iCs w:val="0"/>
          <w:color w:val="auto"/>
          <w:sz w:val="24"/>
          <w:szCs w:val="24"/>
        </w:rPr>
        <w:t xml:space="preserve">appear, new arrest and revocations by race and gender </w:t>
      </w:r>
    </w:p>
    <w:tbl>
      <w:tblPr>
        <w:tblStyle w:val="PlainTable3"/>
        <w:tblW w:w="0" w:type="auto"/>
        <w:tblLook w:val="04A0" w:firstRow="1" w:lastRow="0" w:firstColumn="1" w:lastColumn="0" w:noHBand="0" w:noVBand="1"/>
      </w:tblPr>
      <w:tblGrid>
        <w:gridCol w:w="2545"/>
        <w:gridCol w:w="2168"/>
        <w:gridCol w:w="2168"/>
        <w:gridCol w:w="2232"/>
      </w:tblGrid>
      <w:tr w:rsidR="00CA3863" w:rsidRPr="003002C1" w14:paraId="4FA54369" w14:textId="77777777" w:rsidTr="00A07AC4">
        <w:trPr>
          <w:cnfStyle w:val="100000000000" w:firstRow="1" w:lastRow="0" w:firstColumn="0" w:lastColumn="0" w:oddVBand="0" w:evenVBand="0" w:oddHBand="0" w:evenHBand="0" w:firstRowFirstColumn="0" w:firstRowLastColumn="0" w:lastRowFirstColumn="0" w:lastRowLastColumn="0"/>
          <w:trHeight w:val="623"/>
        </w:trPr>
        <w:tc>
          <w:tcPr>
            <w:cnfStyle w:val="001000000100" w:firstRow="0" w:lastRow="0" w:firstColumn="1" w:lastColumn="0" w:oddVBand="0" w:evenVBand="0" w:oddHBand="0" w:evenHBand="0" w:firstRowFirstColumn="1" w:firstRowLastColumn="0" w:lastRowFirstColumn="0" w:lastRowLastColumn="0"/>
            <w:tcW w:w="2545" w:type="dxa"/>
          </w:tcPr>
          <w:p w14:paraId="7ADCE4C1" w14:textId="77777777" w:rsidR="00CA3863" w:rsidRPr="003002C1" w:rsidRDefault="00CA3863" w:rsidP="00A07AC4">
            <w:pPr>
              <w:spacing w:after="160" w:line="259" w:lineRule="auto"/>
              <w:contextualSpacing/>
              <w:jc w:val="center"/>
              <w:rPr>
                <w:rFonts w:ascii="Times New Roman" w:eastAsia="Times New Roman" w:hAnsi="Times New Roman" w:cs="Times New Roman"/>
                <w:sz w:val="24"/>
                <w:szCs w:val="24"/>
              </w:rPr>
            </w:pPr>
          </w:p>
          <w:p w14:paraId="0740B681" w14:textId="77777777" w:rsidR="00CA3863" w:rsidRPr="003002C1" w:rsidRDefault="00CA3863" w:rsidP="00A07AC4">
            <w:pPr>
              <w:spacing w:after="160"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variable </w:t>
            </w:r>
          </w:p>
        </w:tc>
        <w:tc>
          <w:tcPr>
            <w:tcW w:w="2168" w:type="dxa"/>
          </w:tcPr>
          <w:p w14:paraId="58A6260A"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Model I</w:t>
            </w:r>
          </w:p>
          <w:p w14:paraId="790E29CB"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FTA</w:t>
            </w:r>
          </w:p>
          <w:p w14:paraId="2F663A9F"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OR(SE) </w:t>
            </w:r>
          </w:p>
        </w:tc>
        <w:tc>
          <w:tcPr>
            <w:tcW w:w="2168" w:type="dxa"/>
          </w:tcPr>
          <w:p w14:paraId="7FE3B28F"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3002C1">
              <w:rPr>
                <w:rFonts w:ascii="Times New Roman" w:eastAsia="Times New Roman" w:hAnsi="Times New Roman" w:cs="Times New Roman"/>
                <w:sz w:val="24"/>
                <w:szCs w:val="24"/>
              </w:rPr>
              <w:t>Model II</w:t>
            </w:r>
          </w:p>
          <w:p w14:paraId="5D461F1E"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3002C1">
              <w:rPr>
                <w:rFonts w:ascii="Times New Roman" w:eastAsia="Times New Roman" w:hAnsi="Times New Roman" w:cs="Times New Roman"/>
                <w:sz w:val="24"/>
                <w:szCs w:val="24"/>
              </w:rPr>
              <w:t>New Arrest</w:t>
            </w:r>
          </w:p>
          <w:p w14:paraId="6624B5CF"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OR (SE)</w:t>
            </w:r>
          </w:p>
        </w:tc>
        <w:tc>
          <w:tcPr>
            <w:tcW w:w="2232" w:type="dxa"/>
          </w:tcPr>
          <w:p w14:paraId="295FC654"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3002C1">
              <w:rPr>
                <w:rFonts w:ascii="Times New Roman" w:eastAsia="Times New Roman" w:hAnsi="Times New Roman" w:cs="Times New Roman"/>
                <w:sz w:val="24"/>
                <w:szCs w:val="24"/>
              </w:rPr>
              <w:t>Model III</w:t>
            </w:r>
          </w:p>
          <w:p w14:paraId="5A484F38"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aps w:val="0"/>
                <w:sz w:val="24"/>
                <w:szCs w:val="24"/>
              </w:rPr>
            </w:pPr>
            <w:r w:rsidRPr="003002C1">
              <w:rPr>
                <w:rFonts w:ascii="Times New Roman" w:eastAsia="Times New Roman" w:hAnsi="Times New Roman" w:cs="Times New Roman"/>
                <w:sz w:val="24"/>
                <w:szCs w:val="24"/>
              </w:rPr>
              <w:t>Total Revoked</w:t>
            </w:r>
          </w:p>
          <w:p w14:paraId="2313F4DB"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OR (SE)  </w:t>
            </w:r>
          </w:p>
        </w:tc>
      </w:tr>
      <w:tr w:rsidR="00CA3863" w:rsidRPr="003002C1" w14:paraId="3A6623EC" w14:textId="77777777" w:rsidTr="00A07AC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45" w:type="dxa"/>
          </w:tcPr>
          <w:p w14:paraId="1217E26C"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Female </w:t>
            </w:r>
          </w:p>
        </w:tc>
        <w:tc>
          <w:tcPr>
            <w:tcW w:w="2168" w:type="dxa"/>
          </w:tcPr>
          <w:p w14:paraId="39560374"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.99609</w:t>
            </w:r>
          </w:p>
          <w:p w14:paraId="33CF5827"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(.4456)</w:t>
            </w:r>
          </w:p>
          <w:p w14:paraId="34758FEF"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w:t>
            </w:r>
          </w:p>
        </w:tc>
        <w:tc>
          <w:tcPr>
            <w:tcW w:w="2168" w:type="dxa"/>
          </w:tcPr>
          <w:p w14:paraId="1D1F8D68"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w:t>
            </w:r>
          </w:p>
        </w:tc>
        <w:tc>
          <w:tcPr>
            <w:tcW w:w="2232" w:type="dxa"/>
          </w:tcPr>
          <w:p w14:paraId="5E80907E"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.7958</w:t>
            </w:r>
          </w:p>
          <w:p w14:paraId="05341715"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(.3546)</w:t>
            </w:r>
          </w:p>
        </w:tc>
      </w:tr>
      <w:tr w:rsidR="00CA3863" w:rsidRPr="003002C1" w14:paraId="683240CD" w14:textId="77777777" w:rsidTr="00A07AC4">
        <w:trPr>
          <w:trHeight w:val="422"/>
        </w:trPr>
        <w:tc>
          <w:tcPr>
            <w:cnfStyle w:val="001000000000" w:firstRow="0" w:lastRow="0" w:firstColumn="1" w:lastColumn="0" w:oddVBand="0" w:evenVBand="0" w:oddHBand="0" w:evenHBand="0" w:firstRowFirstColumn="0" w:firstRowLastColumn="0" w:lastRowFirstColumn="0" w:lastRowLastColumn="0"/>
            <w:tcW w:w="2545" w:type="dxa"/>
          </w:tcPr>
          <w:p w14:paraId="7B7CDD69"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Risk Score  </w:t>
            </w:r>
          </w:p>
        </w:tc>
        <w:tc>
          <w:tcPr>
            <w:tcW w:w="2168" w:type="dxa"/>
          </w:tcPr>
          <w:p w14:paraId="00470CB2" w14:textId="77777777" w:rsidR="00CA3863" w:rsidRPr="003002C1" w:rsidRDefault="00CA3863" w:rsidP="00A07AC4">
            <w:pPr>
              <w:spacing w:before="24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1.3590**</w:t>
            </w:r>
          </w:p>
          <w:p w14:paraId="40BEAC68" w14:textId="77777777" w:rsidR="00CA3863" w:rsidRPr="003002C1" w:rsidRDefault="00CA3863" w:rsidP="00A07AC4">
            <w:pPr>
              <w:spacing w:before="24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(.1799)</w:t>
            </w:r>
          </w:p>
        </w:tc>
        <w:tc>
          <w:tcPr>
            <w:tcW w:w="2168" w:type="dxa"/>
          </w:tcPr>
          <w:p w14:paraId="6DE8DDE8"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1.649**</w:t>
            </w:r>
          </w:p>
          <w:p w14:paraId="19960A7D"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(.3847)</w:t>
            </w:r>
          </w:p>
        </w:tc>
        <w:tc>
          <w:tcPr>
            <w:tcW w:w="2232" w:type="dxa"/>
          </w:tcPr>
          <w:p w14:paraId="2C1D24F8"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1.5074***</w:t>
            </w:r>
          </w:p>
          <w:p w14:paraId="75200379"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(.1986)</w:t>
            </w:r>
          </w:p>
        </w:tc>
      </w:tr>
      <w:tr w:rsidR="00CA3863" w:rsidRPr="003002C1" w14:paraId="2C2F8B83" w14:textId="77777777" w:rsidTr="00A07AC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545" w:type="dxa"/>
          </w:tcPr>
          <w:p w14:paraId="6AECDE73"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Black  </w:t>
            </w:r>
          </w:p>
        </w:tc>
        <w:tc>
          <w:tcPr>
            <w:tcW w:w="2168" w:type="dxa"/>
          </w:tcPr>
          <w:p w14:paraId="1C1EC3C9"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.8866</w:t>
            </w:r>
          </w:p>
          <w:p w14:paraId="6349BFF9"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(.3944)</w:t>
            </w:r>
          </w:p>
        </w:tc>
        <w:tc>
          <w:tcPr>
            <w:tcW w:w="2168" w:type="dxa"/>
          </w:tcPr>
          <w:p w14:paraId="1F569803"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2.833</w:t>
            </w:r>
          </w:p>
          <w:p w14:paraId="58127BC9"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(2.609)</w:t>
            </w:r>
          </w:p>
        </w:tc>
        <w:tc>
          <w:tcPr>
            <w:tcW w:w="2232" w:type="dxa"/>
          </w:tcPr>
          <w:p w14:paraId="5823BFE9"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1.3208</w:t>
            </w:r>
          </w:p>
          <w:p w14:paraId="6E862B14"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(.5519)</w:t>
            </w:r>
          </w:p>
        </w:tc>
      </w:tr>
      <w:tr w:rsidR="00CA3863" w:rsidRPr="003002C1" w14:paraId="07C0ACA2" w14:textId="77777777" w:rsidTr="00A07AC4">
        <w:trPr>
          <w:trHeight w:val="468"/>
        </w:trPr>
        <w:tc>
          <w:tcPr>
            <w:cnfStyle w:val="001000000000" w:firstRow="0" w:lastRow="0" w:firstColumn="1" w:lastColumn="0" w:oddVBand="0" w:evenVBand="0" w:oddHBand="0" w:evenHBand="0" w:firstRowFirstColumn="0" w:firstRowLastColumn="0" w:lastRowFirstColumn="0" w:lastRowLastColumn="0"/>
            <w:tcW w:w="2545" w:type="dxa"/>
          </w:tcPr>
          <w:p w14:paraId="3707F423"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Latine  </w:t>
            </w:r>
          </w:p>
        </w:tc>
        <w:tc>
          <w:tcPr>
            <w:tcW w:w="2168" w:type="dxa"/>
          </w:tcPr>
          <w:p w14:paraId="472DAA7F" w14:textId="77777777" w:rsidR="00CA3863" w:rsidRPr="003002C1" w:rsidRDefault="00CA3863" w:rsidP="00A07AC4">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p w14:paraId="3DF2A46D" w14:textId="77777777" w:rsidR="00CA3863" w:rsidRPr="003002C1" w:rsidRDefault="00CA3863" w:rsidP="00A07AC4">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(.8639)</w:t>
            </w:r>
          </w:p>
          <w:p w14:paraId="209ABEB8" w14:textId="77777777" w:rsidR="00CA3863" w:rsidRPr="003002C1" w:rsidRDefault="00CA3863" w:rsidP="00A07AC4">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w:t>
            </w:r>
          </w:p>
        </w:tc>
        <w:tc>
          <w:tcPr>
            <w:tcW w:w="2168" w:type="dxa"/>
          </w:tcPr>
          <w:p w14:paraId="6B935981"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w:t>
            </w:r>
          </w:p>
        </w:tc>
        <w:tc>
          <w:tcPr>
            <w:tcW w:w="2232" w:type="dxa"/>
          </w:tcPr>
          <w:p w14:paraId="0EDDA0B4"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1.3869</w:t>
            </w:r>
          </w:p>
          <w:p w14:paraId="676AD029"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(.7411)</w:t>
            </w:r>
          </w:p>
        </w:tc>
      </w:tr>
      <w:tr w:rsidR="00CA3863" w:rsidRPr="003002C1" w14:paraId="6CA28F8A" w14:textId="77777777" w:rsidTr="00A07AC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545" w:type="dxa"/>
          </w:tcPr>
          <w:p w14:paraId="0EC20366" w14:textId="77777777" w:rsidR="00CA3863" w:rsidRPr="003002C1" w:rsidRDefault="00CA3863" w:rsidP="00A07AC4">
            <w:pPr>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AUC</w:t>
            </w:r>
          </w:p>
        </w:tc>
        <w:tc>
          <w:tcPr>
            <w:tcW w:w="2168" w:type="dxa"/>
          </w:tcPr>
          <w:p w14:paraId="4409261D"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.6418</w:t>
            </w:r>
          </w:p>
        </w:tc>
        <w:tc>
          <w:tcPr>
            <w:tcW w:w="2168" w:type="dxa"/>
          </w:tcPr>
          <w:p w14:paraId="2E07FA02"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.7195</w:t>
            </w:r>
          </w:p>
        </w:tc>
        <w:tc>
          <w:tcPr>
            <w:tcW w:w="2232" w:type="dxa"/>
          </w:tcPr>
          <w:p w14:paraId="030EDF8B"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.6558</w:t>
            </w:r>
          </w:p>
        </w:tc>
      </w:tr>
      <w:tr w:rsidR="00CA3863" w:rsidRPr="003002C1" w14:paraId="31059924" w14:textId="77777777" w:rsidTr="00A07AC4">
        <w:trPr>
          <w:trHeight w:val="623"/>
        </w:trPr>
        <w:tc>
          <w:tcPr>
            <w:cnfStyle w:val="001000000000" w:firstRow="0" w:lastRow="0" w:firstColumn="1" w:lastColumn="0" w:oddVBand="0" w:evenVBand="0" w:oddHBand="0" w:evenHBand="0" w:firstRowFirstColumn="0" w:firstRowLastColumn="0" w:lastRowFirstColumn="0" w:lastRowLastColumn="0"/>
            <w:tcW w:w="2545" w:type="dxa"/>
          </w:tcPr>
          <w:p w14:paraId="33699C3E" w14:textId="77777777" w:rsidR="00CA3863" w:rsidRPr="003002C1" w:rsidRDefault="00CA3863" w:rsidP="00A07AC4">
            <w:pPr>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N</w:t>
            </w:r>
          </w:p>
        </w:tc>
        <w:tc>
          <w:tcPr>
            <w:tcW w:w="2168" w:type="dxa"/>
          </w:tcPr>
          <w:p w14:paraId="759BD1B5"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c>
          <w:tcPr>
            <w:tcW w:w="2168" w:type="dxa"/>
          </w:tcPr>
          <w:p w14:paraId="75C90F20"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102</w:t>
            </w:r>
          </w:p>
        </w:tc>
        <w:tc>
          <w:tcPr>
            <w:tcW w:w="2232" w:type="dxa"/>
          </w:tcPr>
          <w:p w14:paraId="3D5640ED"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160</w:t>
            </w:r>
          </w:p>
        </w:tc>
      </w:tr>
    </w:tbl>
    <w:p w14:paraId="3ED0DA23" w14:textId="77777777" w:rsidR="00CA3863" w:rsidRPr="003002C1" w:rsidRDefault="00CA3863" w:rsidP="00CA3863">
      <w:pPr>
        <w:jc w:val="both"/>
        <w:rPr>
          <w:rFonts w:ascii="Times New Roman" w:hAnsi="Times New Roman" w:cs="Times New Roman"/>
          <w:b/>
          <w:bCs/>
          <w:sz w:val="24"/>
          <w:szCs w:val="24"/>
        </w:rPr>
      </w:pPr>
      <w:r w:rsidRPr="003002C1">
        <w:rPr>
          <w:rFonts w:ascii="Times New Roman" w:hAnsi="Times New Roman" w:cs="Times New Roman"/>
          <w:sz w:val="24"/>
          <w:szCs w:val="24"/>
        </w:rPr>
        <w:t>Note: *** significant at the 1% level ** Significant at the 5% level and * significant at 10 %</w:t>
      </w:r>
      <w:r w:rsidRPr="003002C1">
        <w:rPr>
          <w:rFonts w:ascii="Times New Roman" w:hAnsi="Times New Roman" w:cs="Times New Roman"/>
          <w:b/>
          <w:bCs/>
          <w:sz w:val="24"/>
          <w:szCs w:val="24"/>
        </w:rPr>
        <w:t xml:space="preserve">. </w:t>
      </w:r>
    </w:p>
    <w:p w14:paraId="6D4D454E" w14:textId="77777777" w:rsidR="00CA3863" w:rsidRPr="003002C1" w:rsidRDefault="00CA3863" w:rsidP="00CA3863">
      <w:pPr>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OR= Odds Ratio and SE= Standard Error</w:t>
      </w:r>
    </w:p>
    <w:p w14:paraId="4868C44F" w14:textId="0CE8BE95"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In </w:t>
      </w:r>
      <w:r w:rsidR="00E65A98">
        <w:rPr>
          <w:rFonts w:ascii="Times New Roman" w:hAnsi="Times New Roman" w:cs="Times New Roman"/>
          <w:sz w:val="24"/>
          <w:szCs w:val="24"/>
        </w:rPr>
        <w:t>Table</w:t>
      </w:r>
      <w:r w:rsidRPr="003002C1">
        <w:rPr>
          <w:rFonts w:ascii="Times New Roman" w:hAnsi="Times New Roman" w:cs="Times New Roman"/>
          <w:sz w:val="24"/>
          <w:szCs w:val="24"/>
        </w:rPr>
        <w:t xml:space="preserve"> </w:t>
      </w:r>
      <w:r w:rsidR="00C1302B">
        <w:rPr>
          <w:rFonts w:ascii="Times New Roman" w:hAnsi="Times New Roman" w:cs="Times New Roman"/>
          <w:sz w:val="24"/>
          <w:szCs w:val="24"/>
        </w:rPr>
        <w:t>14</w:t>
      </w:r>
      <w:r w:rsidRPr="003002C1">
        <w:rPr>
          <w:rFonts w:ascii="Times New Roman" w:hAnsi="Times New Roman" w:cs="Times New Roman"/>
          <w:sz w:val="24"/>
          <w:szCs w:val="24"/>
        </w:rPr>
        <w:t xml:space="preserve">, the results find that the risk score is statistically significant at predicting FTA at the 95% confidence level. An odds ratio of less than one indicates a lower outcome. For the model I, the risk score was associated with a 35% increase in the odds of pretrial failure (OR=1.35). If someone was a female, Black or Latine was not statistically significant at explaining FTA. The lack of statistical significance does not indicate racial disparity but indicates that race does not predict FTA. In model II n=102 predicts the likelihood that, risk score, an individual being Black predicts a new arrest. In model III n=160, the model predicts the likelihood that female, risk score, an individual being Black or Latine predict total revocations.  The only statistically significant variable is the risk score in both models, again indicating that Black nor Latine predict a new arrest or total revocations. To compare the models, the AUC score .6418 in model 1 and .6558 in model III indicates a medium predictive effect, while the model II AUC score is .71, a significant predictive effect. However, it is essential to note that model II dropped observations of females or Latine. The model omitted the variables which might explain the increase in predictive effect. Although the </w:t>
      </w:r>
      <w:r w:rsidR="006A6B8D">
        <w:rPr>
          <w:rFonts w:ascii="Times New Roman" w:hAnsi="Times New Roman" w:cs="Times New Roman"/>
          <w:sz w:val="24"/>
          <w:szCs w:val="24"/>
        </w:rPr>
        <w:t>binary</w:t>
      </w:r>
      <w:r w:rsidRPr="003002C1">
        <w:rPr>
          <w:rFonts w:ascii="Times New Roman" w:hAnsi="Times New Roman" w:cs="Times New Roman"/>
          <w:sz w:val="24"/>
          <w:szCs w:val="24"/>
        </w:rPr>
        <w:t xml:space="preserve"> variables for Black or Latine were not statistically significant at predicting FTA, arrest, or revocation, some scholars might argue that this demonstrates free of predictive bias. To ensure there is no predictive bias, further studies need to account for differences in risk levels among race and gender. </w:t>
      </w:r>
    </w:p>
    <w:p w14:paraId="763FF804" w14:textId="77777777" w:rsidR="00CA3863" w:rsidRPr="003002C1" w:rsidRDefault="00CA3863" w:rsidP="00CA3863">
      <w:pPr>
        <w:rPr>
          <w:rFonts w:ascii="Times New Roman" w:hAnsi="Times New Roman" w:cs="Times New Roman"/>
          <w:b/>
          <w:bCs/>
          <w:sz w:val="24"/>
          <w:szCs w:val="24"/>
        </w:rPr>
      </w:pPr>
      <w:r w:rsidRPr="003002C1">
        <w:rPr>
          <w:rFonts w:ascii="Times New Roman" w:hAnsi="Times New Roman" w:cs="Times New Roman"/>
          <w:b/>
          <w:bCs/>
          <w:sz w:val="24"/>
          <w:szCs w:val="24"/>
        </w:rPr>
        <w:lastRenderedPageBreak/>
        <w:t>Research Question</w:t>
      </w:r>
    </w:p>
    <w:p w14:paraId="0F1AB22F" w14:textId="77777777"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Does ORAS-PAT produce racial or gender</w:t>
      </w:r>
      <w:r>
        <w:rPr>
          <w:rFonts w:ascii="Times New Roman" w:hAnsi="Times New Roman" w:cs="Times New Roman"/>
          <w:sz w:val="24"/>
          <w:szCs w:val="24"/>
        </w:rPr>
        <w:t xml:space="preserve"> bias</w:t>
      </w:r>
      <w:r w:rsidRPr="003002C1">
        <w:rPr>
          <w:rFonts w:ascii="Times New Roman" w:hAnsi="Times New Roman" w:cs="Times New Roman"/>
          <w:sz w:val="24"/>
          <w:szCs w:val="24"/>
        </w:rPr>
        <w:t xml:space="preserve">? </w:t>
      </w:r>
    </w:p>
    <w:p w14:paraId="0E326AF3" w14:textId="77223071" w:rsidR="00CA3863"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An analysis was conducted to test if </w:t>
      </w:r>
      <w:r w:rsidR="00B61E4B">
        <w:rPr>
          <w:rFonts w:ascii="Times New Roman" w:hAnsi="Times New Roman" w:cs="Times New Roman"/>
          <w:sz w:val="24"/>
          <w:szCs w:val="24"/>
        </w:rPr>
        <w:t xml:space="preserve">the </w:t>
      </w:r>
      <w:r w:rsidRPr="003002C1">
        <w:rPr>
          <w:rFonts w:ascii="Times New Roman" w:hAnsi="Times New Roman" w:cs="Times New Roman"/>
          <w:sz w:val="24"/>
          <w:szCs w:val="24"/>
        </w:rPr>
        <w:t xml:space="preserve">ORAS-PAT produces racial bias. Specifically, if the risk levels produce racial bias using FTA as the outcome.  Skeem &amp; Lowenkamp (2016) argue that similar distributions across groups would indicate free of predictive bias while differential distributions would indicate predictive bias. Other scholars like Chouldechova argue that bias is tested using false-positive rates. For this report, distributions across groups were tested to determine bias. In addition, to test differences across groups, the AUC score was tested for each subgroup, and then a test for difference between AUC scores was run to determine predictive bias. A statistically significant difference between AUC scores would indicate predictive bias, while an insignificant difference would suggest there is no predictive bias. </w:t>
      </w:r>
    </w:p>
    <w:p w14:paraId="42451F6F" w14:textId="77777777" w:rsidR="00F262E4" w:rsidRPr="003002C1" w:rsidRDefault="00F262E4" w:rsidP="00CA3863">
      <w:pPr>
        <w:jc w:val="both"/>
        <w:rPr>
          <w:rFonts w:ascii="Times New Roman" w:hAnsi="Times New Roman" w:cs="Times New Roman"/>
          <w:sz w:val="24"/>
          <w:szCs w:val="24"/>
        </w:rPr>
      </w:pPr>
    </w:p>
    <w:p w14:paraId="3F3DB6C2" w14:textId="27A7830A" w:rsidR="00CA3863" w:rsidRDefault="00E42FAB" w:rsidP="00CA3863">
      <w:pPr>
        <w:jc w:val="both"/>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w:t>
      </w:r>
      <w:r w:rsidR="00306877">
        <w:rPr>
          <w:rFonts w:ascii="Times New Roman" w:hAnsi="Times New Roman" w:cs="Times New Roman"/>
          <w:b/>
          <w:bCs/>
          <w:sz w:val="24"/>
          <w:szCs w:val="24"/>
        </w:rPr>
        <w:t>8</w:t>
      </w:r>
      <w:r w:rsidR="00CA3863" w:rsidRPr="003002C1">
        <w:rPr>
          <w:rFonts w:ascii="Times New Roman" w:hAnsi="Times New Roman" w:cs="Times New Roman"/>
          <w:b/>
          <w:bCs/>
          <w:sz w:val="24"/>
          <w:szCs w:val="24"/>
        </w:rPr>
        <w:t>: FTA rate by risk level for the white population n=51</w:t>
      </w:r>
    </w:p>
    <w:p w14:paraId="3D98F915" w14:textId="77777777" w:rsidR="00CA3863" w:rsidRPr="00D11CBE" w:rsidRDefault="00CA3863" w:rsidP="00CA3863">
      <w:pPr>
        <w:jc w:val="both"/>
        <w:rPr>
          <w:rFonts w:ascii="Times New Roman" w:hAnsi="Times New Roman" w:cs="Times New Roman"/>
          <w:b/>
          <w:bCs/>
          <w:sz w:val="24"/>
          <w:szCs w:val="24"/>
        </w:rPr>
      </w:pPr>
      <w:r w:rsidRPr="003002C1">
        <w:rPr>
          <w:rFonts w:ascii="Times New Roman" w:hAnsi="Times New Roman" w:cs="Times New Roman"/>
          <w:noProof/>
          <w:sz w:val="24"/>
          <w:szCs w:val="24"/>
        </w:rPr>
        <w:drawing>
          <wp:anchor distT="0" distB="0" distL="114300" distR="114300" simplePos="0" relativeHeight="251675648" behindDoc="1" locked="0" layoutInCell="1" allowOverlap="1" wp14:anchorId="2178A60E" wp14:editId="2C872919">
            <wp:simplePos x="0" y="0"/>
            <wp:positionH relativeFrom="column">
              <wp:posOffset>0</wp:posOffset>
            </wp:positionH>
            <wp:positionV relativeFrom="paragraph">
              <wp:posOffset>-1430</wp:posOffset>
            </wp:positionV>
            <wp:extent cx="4125600" cy="2541600"/>
            <wp:effectExtent l="0" t="0" r="8255" b="11430"/>
            <wp:wrapTight wrapText="bothSides">
              <wp:wrapPolygon edited="0">
                <wp:start x="0" y="0"/>
                <wp:lineTo x="0" y="21535"/>
                <wp:lineTo x="21543" y="21535"/>
                <wp:lineTo x="21543"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09874D8" w14:textId="3F8D5C42"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B27F61">
        <w:rPr>
          <w:rFonts w:ascii="Times New Roman" w:hAnsi="Times New Roman" w:cs="Times New Roman"/>
          <w:sz w:val="24"/>
          <w:szCs w:val="24"/>
        </w:rPr>
        <w:t>8</w:t>
      </w:r>
      <w:r w:rsidRPr="003002C1">
        <w:rPr>
          <w:rFonts w:ascii="Times New Roman" w:hAnsi="Times New Roman" w:cs="Times New Roman"/>
          <w:sz w:val="24"/>
          <w:szCs w:val="24"/>
        </w:rPr>
        <w:t>, FTA rates increase</w:t>
      </w:r>
      <w:r w:rsidR="004242B1">
        <w:rPr>
          <w:rFonts w:ascii="Times New Roman" w:hAnsi="Times New Roman" w:cs="Times New Roman"/>
          <w:sz w:val="24"/>
          <w:szCs w:val="24"/>
        </w:rPr>
        <w:t>d</w:t>
      </w:r>
      <w:r w:rsidRPr="003002C1">
        <w:rPr>
          <w:rFonts w:ascii="Times New Roman" w:hAnsi="Times New Roman" w:cs="Times New Roman"/>
          <w:sz w:val="24"/>
          <w:szCs w:val="24"/>
        </w:rPr>
        <w:t xml:space="preserve"> by risk level for individuals who are white. The AUC score is .7014 suggesting a strong predictive effect. </w:t>
      </w:r>
    </w:p>
    <w:p w14:paraId="63C7509E" w14:textId="77777777" w:rsidR="00CA3863" w:rsidRPr="003002C1" w:rsidRDefault="00CA3863" w:rsidP="00CA3863">
      <w:pPr>
        <w:jc w:val="both"/>
        <w:rPr>
          <w:rFonts w:ascii="Times New Roman" w:hAnsi="Times New Roman" w:cs="Times New Roman"/>
          <w:sz w:val="24"/>
          <w:szCs w:val="24"/>
        </w:rPr>
      </w:pPr>
    </w:p>
    <w:p w14:paraId="706CA88B" w14:textId="77777777" w:rsidR="00CA3863" w:rsidRPr="003002C1" w:rsidRDefault="00CA3863" w:rsidP="00CA3863">
      <w:pPr>
        <w:jc w:val="both"/>
        <w:rPr>
          <w:rFonts w:ascii="Times New Roman" w:hAnsi="Times New Roman" w:cs="Times New Roman"/>
          <w:sz w:val="24"/>
          <w:szCs w:val="24"/>
        </w:rPr>
      </w:pPr>
    </w:p>
    <w:p w14:paraId="138AD2F6" w14:textId="77777777" w:rsidR="00CA3863" w:rsidRPr="003002C1" w:rsidRDefault="00CA3863" w:rsidP="00CA3863">
      <w:pPr>
        <w:jc w:val="both"/>
        <w:rPr>
          <w:rFonts w:ascii="Times New Roman" w:hAnsi="Times New Roman" w:cs="Times New Roman"/>
          <w:sz w:val="24"/>
          <w:szCs w:val="24"/>
        </w:rPr>
      </w:pPr>
    </w:p>
    <w:p w14:paraId="4FCBE196" w14:textId="77777777" w:rsidR="00CA3863" w:rsidRPr="003002C1" w:rsidRDefault="00CA3863" w:rsidP="00CA3863">
      <w:pPr>
        <w:jc w:val="both"/>
        <w:rPr>
          <w:rFonts w:ascii="Times New Roman" w:hAnsi="Times New Roman" w:cs="Times New Roman"/>
          <w:sz w:val="24"/>
          <w:szCs w:val="24"/>
        </w:rPr>
      </w:pPr>
    </w:p>
    <w:p w14:paraId="5B9A1680" w14:textId="77777777" w:rsidR="00CA3863" w:rsidRPr="003002C1" w:rsidRDefault="00CA3863" w:rsidP="00F262E4">
      <w:pPr>
        <w:spacing w:after="0"/>
        <w:rPr>
          <w:rFonts w:ascii="Times New Roman" w:hAnsi="Times New Roman" w:cs="Times New Roman"/>
          <w:sz w:val="24"/>
          <w:szCs w:val="24"/>
        </w:rPr>
      </w:pPr>
      <w:r w:rsidRPr="003002C1">
        <w:rPr>
          <w:rFonts w:ascii="Times New Roman" w:hAnsi="Times New Roman" w:cs="Times New Roman"/>
          <w:sz w:val="24"/>
          <w:szCs w:val="24"/>
        </w:rPr>
        <w:t>AUC score=.7014</w:t>
      </w:r>
    </w:p>
    <w:p w14:paraId="415E12A1" w14:textId="77777777" w:rsidR="00CA3863" w:rsidRDefault="00CA3863" w:rsidP="00CA3863">
      <w:pPr>
        <w:jc w:val="both"/>
        <w:rPr>
          <w:rFonts w:ascii="Times New Roman" w:hAnsi="Times New Roman" w:cs="Times New Roman"/>
          <w:sz w:val="24"/>
          <w:szCs w:val="24"/>
        </w:rPr>
      </w:pPr>
    </w:p>
    <w:p w14:paraId="50FD7411" w14:textId="77777777" w:rsidR="00CA3863" w:rsidRDefault="00CA3863" w:rsidP="00CA3863">
      <w:pPr>
        <w:jc w:val="both"/>
        <w:rPr>
          <w:rFonts w:ascii="Times New Roman" w:hAnsi="Times New Roman" w:cs="Times New Roman"/>
          <w:sz w:val="24"/>
          <w:szCs w:val="24"/>
        </w:rPr>
      </w:pPr>
    </w:p>
    <w:p w14:paraId="265A9841" w14:textId="43BA81C0" w:rsidR="00CA3863" w:rsidRDefault="00CA3863" w:rsidP="00CA3863">
      <w:pPr>
        <w:jc w:val="both"/>
        <w:rPr>
          <w:rFonts w:ascii="Times New Roman" w:hAnsi="Times New Roman" w:cs="Times New Roman"/>
          <w:sz w:val="24"/>
          <w:szCs w:val="24"/>
        </w:rPr>
      </w:pPr>
    </w:p>
    <w:p w14:paraId="6510885A" w14:textId="77777777" w:rsidR="00F262E4" w:rsidRDefault="00F262E4" w:rsidP="00CA3863">
      <w:pPr>
        <w:jc w:val="both"/>
        <w:rPr>
          <w:rFonts w:ascii="Times New Roman" w:hAnsi="Times New Roman" w:cs="Times New Roman"/>
          <w:sz w:val="24"/>
          <w:szCs w:val="24"/>
        </w:rPr>
      </w:pPr>
    </w:p>
    <w:p w14:paraId="7C8FB48D" w14:textId="092B3629" w:rsidR="00CA3863" w:rsidRDefault="00CA3863" w:rsidP="00CA3863">
      <w:pPr>
        <w:jc w:val="both"/>
        <w:rPr>
          <w:rFonts w:ascii="Times New Roman" w:hAnsi="Times New Roman" w:cs="Times New Roman"/>
          <w:sz w:val="24"/>
          <w:szCs w:val="24"/>
        </w:rPr>
      </w:pPr>
    </w:p>
    <w:p w14:paraId="59C98342" w14:textId="22BD55F1" w:rsidR="00960342" w:rsidRDefault="00960342" w:rsidP="00CA3863">
      <w:pPr>
        <w:jc w:val="both"/>
        <w:rPr>
          <w:rFonts w:ascii="Times New Roman" w:hAnsi="Times New Roman" w:cs="Times New Roman"/>
          <w:sz w:val="24"/>
          <w:szCs w:val="24"/>
        </w:rPr>
      </w:pPr>
    </w:p>
    <w:p w14:paraId="5496C5A8" w14:textId="77777777" w:rsidR="00960342" w:rsidRDefault="00960342" w:rsidP="00CA3863">
      <w:pPr>
        <w:jc w:val="both"/>
        <w:rPr>
          <w:rFonts w:ascii="Times New Roman" w:hAnsi="Times New Roman" w:cs="Times New Roman"/>
          <w:sz w:val="24"/>
          <w:szCs w:val="24"/>
        </w:rPr>
      </w:pPr>
    </w:p>
    <w:p w14:paraId="1338418B" w14:textId="77777777" w:rsidR="00F262E4" w:rsidRPr="003002C1" w:rsidRDefault="00F262E4" w:rsidP="00CA3863">
      <w:pPr>
        <w:jc w:val="both"/>
        <w:rPr>
          <w:rFonts w:ascii="Times New Roman" w:hAnsi="Times New Roman" w:cs="Times New Roman"/>
          <w:sz w:val="24"/>
          <w:szCs w:val="24"/>
        </w:rPr>
      </w:pPr>
    </w:p>
    <w:p w14:paraId="300E753E" w14:textId="0A219D94" w:rsidR="00CA3863" w:rsidRPr="003002C1" w:rsidRDefault="00E42FAB" w:rsidP="00CA3863">
      <w:pPr>
        <w:jc w:val="both"/>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w:t>
      </w:r>
      <w:r w:rsidR="00306877">
        <w:rPr>
          <w:rFonts w:ascii="Times New Roman" w:hAnsi="Times New Roman" w:cs="Times New Roman"/>
          <w:b/>
          <w:bCs/>
          <w:sz w:val="24"/>
          <w:szCs w:val="24"/>
        </w:rPr>
        <w:t>9</w:t>
      </w:r>
      <w:r w:rsidR="00CA3863" w:rsidRPr="003002C1">
        <w:rPr>
          <w:rFonts w:ascii="Times New Roman" w:hAnsi="Times New Roman" w:cs="Times New Roman"/>
          <w:b/>
          <w:bCs/>
          <w:sz w:val="24"/>
          <w:szCs w:val="24"/>
        </w:rPr>
        <w:t>: FTA rate by risk level for the Black population n=75</w:t>
      </w:r>
    </w:p>
    <w:p w14:paraId="35B49448" w14:textId="19181359"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noProof/>
          <w:sz w:val="24"/>
          <w:szCs w:val="24"/>
        </w:rPr>
        <w:drawing>
          <wp:anchor distT="0" distB="0" distL="114300" distR="114300" simplePos="0" relativeHeight="251676672" behindDoc="1" locked="0" layoutInCell="1" allowOverlap="1" wp14:anchorId="58407EE5" wp14:editId="3D50F6BA">
            <wp:simplePos x="0" y="0"/>
            <wp:positionH relativeFrom="column">
              <wp:posOffset>0</wp:posOffset>
            </wp:positionH>
            <wp:positionV relativeFrom="paragraph">
              <wp:posOffset>-2830</wp:posOffset>
            </wp:positionV>
            <wp:extent cx="3765600" cy="2318400"/>
            <wp:effectExtent l="0" t="0" r="6350" b="5715"/>
            <wp:wrapTight wrapText="bothSides">
              <wp:wrapPolygon edited="0">
                <wp:start x="0" y="0"/>
                <wp:lineTo x="0" y="21476"/>
                <wp:lineTo x="21527" y="21476"/>
                <wp:lineTo x="21527"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3002C1">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B27F61">
        <w:rPr>
          <w:rFonts w:ascii="Times New Roman" w:hAnsi="Times New Roman" w:cs="Times New Roman"/>
          <w:sz w:val="24"/>
          <w:szCs w:val="24"/>
        </w:rPr>
        <w:t>9</w:t>
      </w:r>
      <w:r w:rsidRPr="003002C1">
        <w:rPr>
          <w:rFonts w:ascii="Times New Roman" w:hAnsi="Times New Roman" w:cs="Times New Roman"/>
          <w:sz w:val="24"/>
          <w:szCs w:val="24"/>
        </w:rPr>
        <w:t xml:space="preserve">, the FTA rate distribution for individuals who are Black increased for </w:t>
      </w:r>
      <w:r w:rsidR="004C2B19">
        <w:rPr>
          <w:rFonts w:ascii="Times New Roman" w:hAnsi="Times New Roman" w:cs="Times New Roman"/>
          <w:sz w:val="24"/>
          <w:szCs w:val="24"/>
        </w:rPr>
        <w:t>moderate-risk</w:t>
      </w:r>
      <w:r w:rsidRPr="003002C1">
        <w:rPr>
          <w:rFonts w:ascii="Times New Roman" w:hAnsi="Times New Roman" w:cs="Times New Roman"/>
          <w:sz w:val="24"/>
          <w:szCs w:val="24"/>
        </w:rPr>
        <w:t xml:space="preserve"> level but decreased for </w:t>
      </w:r>
      <w:r w:rsidR="000B490A">
        <w:rPr>
          <w:rFonts w:ascii="Times New Roman" w:hAnsi="Times New Roman" w:cs="Times New Roman"/>
          <w:sz w:val="24"/>
          <w:szCs w:val="24"/>
        </w:rPr>
        <w:t>high-risk</w:t>
      </w:r>
      <w:r w:rsidRPr="003002C1">
        <w:rPr>
          <w:rFonts w:ascii="Times New Roman" w:hAnsi="Times New Roman" w:cs="Times New Roman"/>
          <w:sz w:val="24"/>
          <w:szCs w:val="24"/>
        </w:rPr>
        <w:t xml:space="preserve"> level. The AUC score is .5779 suggesting that it is </w:t>
      </w:r>
      <w:r w:rsidR="005567AF" w:rsidRPr="003002C1">
        <w:rPr>
          <w:rFonts w:ascii="Times New Roman" w:hAnsi="Times New Roman" w:cs="Times New Roman"/>
          <w:sz w:val="24"/>
          <w:szCs w:val="24"/>
        </w:rPr>
        <w:t>marginally</w:t>
      </w:r>
      <w:r w:rsidRPr="003002C1">
        <w:rPr>
          <w:rFonts w:ascii="Times New Roman" w:hAnsi="Times New Roman" w:cs="Times New Roman"/>
          <w:sz w:val="24"/>
          <w:szCs w:val="24"/>
        </w:rPr>
        <w:t xml:space="preserve"> better than chance to predict FTA rates by risk level for individuals who are Black. The AUC score of .5779 might indicate that the ORAS-PAT risk level might not predict FTA as strong for individuals who are Black than the white population. However, when testing for significance this was insignificant. </w:t>
      </w:r>
    </w:p>
    <w:p w14:paraId="6BA94FF1" w14:textId="77777777" w:rsidR="00CA3863" w:rsidRPr="003002C1" w:rsidRDefault="00CA3863" w:rsidP="00CA3863">
      <w:pPr>
        <w:jc w:val="both"/>
        <w:rPr>
          <w:rFonts w:ascii="Times New Roman" w:hAnsi="Times New Roman" w:cs="Times New Roman"/>
          <w:b/>
          <w:bCs/>
          <w:sz w:val="24"/>
          <w:szCs w:val="24"/>
        </w:rPr>
      </w:pPr>
      <w:r w:rsidRPr="003002C1">
        <w:rPr>
          <w:rFonts w:ascii="Times New Roman" w:hAnsi="Times New Roman" w:cs="Times New Roman"/>
          <w:sz w:val="24"/>
          <w:szCs w:val="24"/>
        </w:rPr>
        <w:t>AUC score= .5779</w:t>
      </w:r>
    </w:p>
    <w:p w14:paraId="596CBCD2" w14:textId="423F18C9" w:rsidR="00CA3863" w:rsidRPr="003002C1" w:rsidRDefault="00E42FAB" w:rsidP="00CA3863">
      <w:pPr>
        <w:jc w:val="both"/>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w:t>
      </w:r>
      <w:r w:rsidR="00306877">
        <w:rPr>
          <w:rFonts w:ascii="Times New Roman" w:hAnsi="Times New Roman" w:cs="Times New Roman"/>
          <w:b/>
          <w:bCs/>
          <w:sz w:val="24"/>
          <w:szCs w:val="24"/>
        </w:rPr>
        <w:t>10</w:t>
      </w:r>
      <w:r w:rsidR="00CA3863" w:rsidRPr="003002C1">
        <w:rPr>
          <w:rFonts w:ascii="Times New Roman" w:hAnsi="Times New Roman" w:cs="Times New Roman"/>
          <w:b/>
          <w:bCs/>
          <w:sz w:val="24"/>
          <w:szCs w:val="24"/>
        </w:rPr>
        <w:t>: FTA rate by risk level for the Latine population n=27</w:t>
      </w:r>
    </w:p>
    <w:p w14:paraId="3B94B043" w14:textId="58BC7209"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noProof/>
          <w:sz w:val="24"/>
          <w:szCs w:val="24"/>
        </w:rPr>
        <w:drawing>
          <wp:anchor distT="0" distB="0" distL="114300" distR="114300" simplePos="0" relativeHeight="251677696" behindDoc="1" locked="0" layoutInCell="1" allowOverlap="1" wp14:anchorId="661607BF" wp14:editId="763423D8">
            <wp:simplePos x="0" y="0"/>
            <wp:positionH relativeFrom="column">
              <wp:posOffset>0</wp:posOffset>
            </wp:positionH>
            <wp:positionV relativeFrom="paragraph">
              <wp:posOffset>1855</wp:posOffset>
            </wp:positionV>
            <wp:extent cx="3787200" cy="2440800"/>
            <wp:effectExtent l="0" t="0" r="3810" b="17145"/>
            <wp:wrapTight wrapText="bothSides">
              <wp:wrapPolygon edited="0">
                <wp:start x="0" y="0"/>
                <wp:lineTo x="0" y="21583"/>
                <wp:lineTo x="21513" y="21583"/>
                <wp:lineTo x="21513"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3002C1">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B27F61">
        <w:rPr>
          <w:rFonts w:ascii="Times New Roman" w:hAnsi="Times New Roman" w:cs="Times New Roman"/>
          <w:sz w:val="24"/>
          <w:szCs w:val="24"/>
        </w:rPr>
        <w:t>10</w:t>
      </w:r>
      <w:r w:rsidRPr="003002C1">
        <w:rPr>
          <w:rFonts w:ascii="Times New Roman" w:hAnsi="Times New Roman" w:cs="Times New Roman"/>
          <w:sz w:val="24"/>
          <w:szCs w:val="24"/>
        </w:rPr>
        <w:t xml:space="preserve">, the FTA rates do not increase as risk levels increase. There was no one released on pretrial supervision that is Latine and high-risk level. The AUC score of .5263 suggest that </w:t>
      </w:r>
      <w:r w:rsidR="005567AF" w:rsidRPr="003002C1">
        <w:rPr>
          <w:rFonts w:ascii="Times New Roman" w:hAnsi="Times New Roman" w:cs="Times New Roman"/>
          <w:sz w:val="24"/>
          <w:szCs w:val="24"/>
        </w:rPr>
        <w:t>the predicting</w:t>
      </w:r>
      <w:r w:rsidR="000D64F1">
        <w:rPr>
          <w:rFonts w:ascii="Times New Roman" w:hAnsi="Times New Roman" w:cs="Times New Roman"/>
          <w:sz w:val="24"/>
          <w:szCs w:val="24"/>
        </w:rPr>
        <w:t xml:space="preserve"> </w:t>
      </w:r>
      <w:r w:rsidRPr="003002C1">
        <w:rPr>
          <w:rFonts w:ascii="Times New Roman" w:hAnsi="Times New Roman" w:cs="Times New Roman"/>
          <w:sz w:val="24"/>
          <w:szCs w:val="24"/>
        </w:rPr>
        <w:t xml:space="preserve">FTA rate for Latine by risk level is </w:t>
      </w:r>
      <w:r w:rsidR="005567AF" w:rsidRPr="003002C1">
        <w:rPr>
          <w:rFonts w:ascii="Times New Roman" w:hAnsi="Times New Roman" w:cs="Times New Roman"/>
          <w:sz w:val="24"/>
          <w:szCs w:val="24"/>
        </w:rPr>
        <w:t>marginally</w:t>
      </w:r>
      <w:r w:rsidRPr="003002C1">
        <w:rPr>
          <w:rFonts w:ascii="Times New Roman" w:hAnsi="Times New Roman" w:cs="Times New Roman"/>
          <w:sz w:val="24"/>
          <w:szCs w:val="24"/>
        </w:rPr>
        <w:t xml:space="preserve"> better than chance. The AUC score for the Latine population (.5263) significantly differs (p ≤.05) from the AUC score for the white population. This indicates that the ORAS-PAT risk level might not predict FTA as strongly for Latine population as for the white population. </w:t>
      </w:r>
    </w:p>
    <w:p w14:paraId="523ACA5D" w14:textId="77777777"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AUC score=.5263</w:t>
      </w:r>
    </w:p>
    <w:p w14:paraId="34722B53" w14:textId="77777777" w:rsidR="00CA3863" w:rsidRPr="003002C1" w:rsidRDefault="00CA3863" w:rsidP="00CA3863">
      <w:pPr>
        <w:jc w:val="both"/>
        <w:rPr>
          <w:rFonts w:ascii="Times New Roman" w:hAnsi="Times New Roman" w:cs="Times New Roman"/>
          <w:sz w:val="24"/>
          <w:szCs w:val="24"/>
        </w:rPr>
      </w:pPr>
    </w:p>
    <w:p w14:paraId="1AF4EB51" w14:textId="77777777" w:rsidR="00CA3863" w:rsidRPr="003002C1" w:rsidRDefault="00CA3863" w:rsidP="00CA3863">
      <w:pPr>
        <w:jc w:val="both"/>
        <w:rPr>
          <w:rFonts w:ascii="Times New Roman" w:hAnsi="Times New Roman" w:cs="Times New Roman"/>
          <w:sz w:val="24"/>
          <w:szCs w:val="24"/>
        </w:rPr>
      </w:pPr>
    </w:p>
    <w:p w14:paraId="40F445F0" w14:textId="77777777" w:rsidR="00CA3863" w:rsidRDefault="00CA3863" w:rsidP="00CA3863">
      <w:pPr>
        <w:jc w:val="both"/>
        <w:rPr>
          <w:rFonts w:ascii="Times New Roman" w:hAnsi="Times New Roman" w:cs="Times New Roman"/>
          <w:sz w:val="24"/>
          <w:szCs w:val="24"/>
        </w:rPr>
      </w:pPr>
    </w:p>
    <w:p w14:paraId="762BD4E9" w14:textId="77777777" w:rsidR="00CA3863" w:rsidRPr="003002C1" w:rsidRDefault="00CA3863" w:rsidP="00CA3863">
      <w:pPr>
        <w:jc w:val="both"/>
        <w:rPr>
          <w:rFonts w:ascii="Times New Roman" w:hAnsi="Times New Roman" w:cs="Times New Roman"/>
          <w:sz w:val="24"/>
          <w:szCs w:val="24"/>
        </w:rPr>
      </w:pPr>
    </w:p>
    <w:p w14:paraId="0A93EEDA" w14:textId="77777777" w:rsidR="00CA3863" w:rsidRPr="003002C1" w:rsidRDefault="00CA3863" w:rsidP="00CA3863">
      <w:pPr>
        <w:jc w:val="both"/>
        <w:rPr>
          <w:rFonts w:ascii="Times New Roman" w:hAnsi="Times New Roman" w:cs="Times New Roman"/>
          <w:sz w:val="24"/>
          <w:szCs w:val="24"/>
        </w:rPr>
      </w:pPr>
    </w:p>
    <w:p w14:paraId="683ECC94" w14:textId="66975992" w:rsidR="00CA3863" w:rsidRPr="003002C1" w:rsidRDefault="00E42FAB" w:rsidP="00082FA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w:t>
      </w:r>
      <w:r w:rsidR="000E4A3D">
        <w:rPr>
          <w:rFonts w:ascii="Times New Roman" w:hAnsi="Times New Roman" w:cs="Times New Roman"/>
          <w:b/>
          <w:bCs/>
          <w:sz w:val="24"/>
          <w:szCs w:val="24"/>
        </w:rPr>
        <w:t>11</w:t>
      </w:r>
      <w:r w:rsidR="00CA3863" w:rsidRPr="003002C1">
        <w:rPr>
          <w:rFonts w:ascii="Times New Roman" w:hAnsi="Times New Roman" w:cs="Times New Roman"/>
          <w:b/>
          <w:bCs/>
          <w:sz w:val="24"/>
          <w:szCs w:val="24"/>
        </w:rPr>
        <w:t>: FTA rate by risk level for the female population n=38</w:t>
      </w:r>
    </w:p>
    <w:p w14:paraId="4C3B2A1F" w14:textId="77777777" w:rsidR="00CA3863" w:rsidRPr="003002C1" w:rsidRDefault="00CA3863" w:rsidP="00082FA2">
      <w:pPr>
        <w:jc w:val="center"/>
        <w:rPr>
          <w:rFonts w:ascii="Times New Roman" w:hAnsi="Times New Roman" w:cs="Times New Roman"/>
          <w:sz w:val="24"/>
          <w:szCs w:val="24"/>
        </w:rPr>
      </w:pPr>
      <w:r w:rsidRPr="003002C1">
        <w:rPr>
          <w:rFonts w:ascii="Times New Roman" w:hAnsi="Times New Roman" w:cs="Times New Roman"/>
          <w:noProof/>
          <w:sz w:val="24"/>
          <w:szCs w:val="24"/>
        </w:rPr>
        <w:drawing>
          <wp:inline distT="0" distB="0" distL="0" distR="0" wp14:anchorId="4950002B" wp14:editId="1D233E46">
            <wp:extent cx="3902400" cy="2606400"/>
            <wp:effectExtent l="0" t="0" r="3175"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CBD7BB" w14:textId="77777777" w:rsidR="00CA3863" w:rsidRPr="003002C1" w:rsidRDefault="00CA3863" w:rsidP="00082FA2">
      <w:pPr>
        <w:jc w:val="center"/>
        <w:rPr>
          <w:rFonts w:ascii="Times New Roman" w:hAnsi="Times New Roman" w:cs="Times New Roman"/>
          <w:sz w:val="24"/>
          <w:szCs w:val="24"/>
        </w:rPr>
      </w:pPr>
      <w:r w:rsidRPr="003002C1">
        <w:rPr>
          <w:rFonts w:ascii="Times New Roman" w:hAnsi="Times New Roman" w:cs="Times New Roman"/>
          <w:sz w:val="24"/>
          <w:szCs w:val="24"/>
        </w:rPr>
        <w:t>AUC score=.6375</w:t>
      </w:r>
    </w:p>
    <w:p w14:paraId="6B1FED0F" w14:textId="5497DB5C" w:rsidR="00CA3863" w:rsidRPr="003002C1" w:rsidRDefault="00E42FAB" w:rsidP="00082FA2">
      <w:pPr>
        <w:jc w:val="center"/>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w:t>
      </w:r>
      <w:r w:rsidR="000E4A3D">
        <w:rPr>
          <w:rFonts w:ascii="Times New Roman" w:hAnsi="Times New Roman" w:cs="Times New Roman"/>
          <w:b/>
          <w:bCs/>
          <w:sz w:val="24"/>
          <w:szCs w:val="24"/>
        </w:rPr>
        <w:t>12</w:t>
      </w:r>
      <w:r w:rsidR="00CA3863" w:rsidRPr="003002C1">
        <w:rPr>
          <w:rFonts w:ascii="Times New Roman" w:hAnsi="Times New Roman" w:cs="Times New Roman"/>
          <w:b/>
          <w:bCs/>
          <w:sz w:val="24"/>
          <w:szCs w:val="24"/>
        </w:rPr>
        <w:t>: FTA rate by risk level for the male population n=122</w:t>
      </w:r>
    </w:p>
    <w:p w14:paraId="42D64745" w14:textId="77777777" w:rsidR="00CA3863" w:rsidRPr="003002C1" w:rsidRDefault="00CA3863" w:rsidP="00082FA2">
      <w:pPr>
        <w:jc w:val="center"/>
        <w:rPr>
          <w:rFonts w:ascii="Times New Roman" w:hAnsi="Times New Roman" w:cs="Times New Roman"/>
          <w:b/>
          <w:bCs/>
          <w:color w:val="4472C4" w:themeColor="accent1"/>
          <w:sz w:val="24"/>
          <w:szCs w:val="24"/>
        </w:rPr>
      </w:pPr>
      <w:r w:rsidRPr="003002C1">
        <w:rPr>
          <w:rFonts w:ascii="Times New Roman" w:hAnsi="Times New Roman" w:cs="Times New Roman"/>
          <w:noProof/>
          <w:sz w:val="24"/>
          <w:szCs w:val="24"/>
        </w:rPr>
        <w:drawing>
          <wp:inline distT="0" distB="0" distL="0" distR="0" wp14:anchorId="6C18D64C" wp14:editId="0FE21DC5">
            <wp:extent cx="4032000" cy="2714400"/>
            <wp:effectExtent l="0" t="0" r="698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78EE6B" w14:textId="77777777" w:rsidR="00CA3863" w:rsidRPr="003002C1" w:rsidRDefault="00CA3863" w:rsidP="00082FA2">
      <w:pPr>
        <w:jc w:val="center"/>
        <w:rPr>
          <w:rFonts w:ascii="Times New Roman" w:hAnsi="Times New Roman" w:cs="Times New Roman"/>
          <w:sz w:val="24"/>
          <w:szCs w:val="24"/>
        </w:rPr>
      </w:pPr>
      <w:r w:rsidRPr="003002C1">
        <w:rPr>
          <w:rFonts w:ascii="Times New Roman" w:hAnsi="Times New Roman" w:cs="Times New Roman"/>
          <w:sz w:val="24"/>
          <w:szCs w:val="24"/>
        </w:rPr>
        <w:t>AUC score=.6045</w:t>
      </w:r>
    </w:p>
    <w:p w14:paraId="075F5C3C" w14:textId="549DE8FC" w:rsidR="00CA3863" w:rsidRPr="003002C1" w:rsidRDefault="00E42FAB" w:rsidP="00CA3863">
      <w:pPr>
        <w:jc w:val="both"/>
        <w:rPr>
          <w:rFonts w:ascii="Times New Roman" w:hAnsi="Times New Roman" w:cs="Times New Roman"/>
          <w:sz w:val="24"/>
          <w:szCs w:val="24"/>
        </w:rPr>
      </w:pPr>
      <w:r>
        <w:rPr>
          <w:rFonts w:ascii="Times New Roman" w:hAnsi="Times New Roman" w:cs="Times New Roman"/>
          <w:sz w:val="24"/>
          <w:szCs w:val="24"/>
        </w:rPr>
        <w:t>Figure</w:t>
      </w:r>
      <w:r w:rsidR="00CA3863" w:rsidRPr="003002C1">
        <w:rPr>
          <w:rFonts w:ascii="Times New Roman" w:hAnsi="Times New Roman" w:cs="Times New Roman"/>
          <w:sz w:val="24"/>
          <w:szCs w:val="24"/>
        </w:rPr>
        <w:t xml:space="preserve">s </w:t>
      </w:r>
      <w:r w:rsidR="000E4A3D">
        <w:rPr>
          <w:rFonts w:ascii="Times New Roman" w:hAnsi="Times New Roman" w:cs="Times New Roman"/>
          <w:sz w:val="24"/>
          <w:szCs w:val="24"/>
        </w:rPr>
        <w:t>11</w:t>
      </w:r>
      <w:r w:rsidR="00CA3863" w:rsidRPr="003002C1">
        <w:rPr>
          <w:rFonts w:ascii="Times New Roman" w:hAnsi="Times New Roman" w:cs="Times New Roman"/>
          <w:sz w:val="24"/>
          <w:szCs w:val="24"/>
        </w:rPr>
        <w:t xml:space="preserve"> and </w:t>
      </w:r>
      <w:r w:rsidR="000E4A3D">
        <w:rPr>
          <w:rFonts w:ascii="Times New Roman" w:hAnsi="Times New Roman" w:cs="Times New Roman"/>
          <w:sz w:val="24"/>
          <w:szCs w:val="24"/>
        </w:rPr>
        <w:t>12</w:t>
      </w:r>
      <w:r w:rsidR="00CA3863" w:rsidRPr="003002C1">
        <w:rPr>
          <w:rFonts w:ascii="Times New Roman" w:hAnsi="Times New Roman" w:cs="Times New Roman"/>
          <w:sz w:val="24"/>
          <w:szCs w:val="24"/>
        </w:rPr>
        <w:t xml:space="preserve"> illustrate the FTA rates by risk level for females (n=38) and males (n=122). For both females and males, the FTA rate increases as risk levels increase. In addition, the AUC score for females is .63, while for males, it is .6045, a medium predictive effect. There was no statistical difference between females and males, suggesting no predictive bias in terms of gender. </w:t>
      </w:r>
    </w:p>
    <w:p w14:paraId="706229B5" w14:textId="6997B5AA" w:rsidR="00CA3863" w:rsidRDefault="00CA3863" w:rsidP="00CA3863">
      <w:pPr>
        <w:jc w:val="both"/>
        <w:rPr>
          <w:rFonts w:ascii="Times New Roman" w:hAnsi="Times New Roman" w:cs="Times New Roman"/>
          <w:sz w:val="24"/>
          <w:szCs w:val="24"/>
        </w:rPr>
      </w:pPr>
      <w:r w:rsidRPr="00591470">
        <w:rPr>
          <w:rFonts w:ascii="Times New Roman" w:hAnsi="Times New Roman" w:cs="Times New Roman"/>
          <w:sz w:val="24"/>
          <w:szCs w:val="24"/>
        </w:rPr>
        <w:t>The previous models examined predictive bias and the prediction of the likelihood of FTA. It is also essential to test disparate impact across racial, ethnic, and gender groups. Drawing from (Skeem &amp; Lowenkamp, 2016; Barno</w:t>
      </w:r>
      <w:r w:rsidR="00BB68DB">
        <w:rPr>
          <w:rFonts w:ascii="Times New Roman" w:hAnsi="Times New Roman" w:cs="Times New Roman"/>
          <w:sz w:val="24"/>
          <w:szCs w:val="24"/>
        </w:rPr>
        <w:t>,</w:t>
      </w:r>
      <w:r w:rsidRPr="00591470">
        <w:rPr>
          <w:rFonts w:ascii="Times New Roman" w:hAnsi="Times New Roman" w:cs="Times New Roman"/>
          <w:sz w:val="24"/>
          <w:szCs w:val="24"/>
        </w:rPr>
        <w:t xml:space="preserve"> Williams</w:t>
      </w:r>
      <w:r w:rsidR="00BB68DB">
        <w:rPr>
          <w:rFonts w:ascii="Times New Roman" w:hAnsi="Times New Roman" w:cs="Times New Roman"/>
          <w:sz w:val="24"/>
          <w:szCs w:val="24"/>
        </w:rPr>
        <w:t xml:space="preserve">, </w:t>
      </w:r>
      <w:r w:rsidRPr="00591470">
        <w:rPr>
          <w:rFonts w:ascii="Times New Roman" w:hAnsi="Times New Roman" w:cs="Times New Roman"/>
          <w:sz w:val="24"/>
          <w:szCs w:val="24"/>
        </w:rPr>
        <w:t xml:space="preserve">&amp; Nevárez Martínez, 2019), disparate impact is </w:t>
      </w:r>
      <w:r w:rsidRPr="00591470">
        <w:rPr>
          <w:rFonts w:ascii="Times New Roman" w:hAnsi="Times New Roman" w:cs="Times New Roman"/>
          <w:sz w:val="24"/>
          <w:szCs w:val="24"/>
        </w:rPr>
        <w:lastRenderedPageBreak/>
        <w:t xml:space="preserve">measured by the difference in means scores of risks. A statistical difference in mean scores could potentially impact more restrictive conditions on pretrial release. For example, if someone who identifies as Black is scored higher and those differences are statistically significant, that would indicate that a difference in mean scores would cause Black </w:t>
      </w:r>
      <w:r w:rsidR="008F3D26">
        <w:rPr>
          <w:rFonts w:ascii="Times New Roman" w:hAnsi="Times New Roman" w:cs="Times New Roman"/>
          <w:sz w:val="24"/>
          <w:szCs w:val="24"/>
        </w:rPr>
        <w:t>individuals</w:t>
      </w:r>
      <w:r w:rsidRPr="00591470">
        <w:rPr>
          <w:rFonts w:ascii="Times New Roman" w:hAnsi="Times New Roman" w:cs="Times New Roman"/>
          <w:sz w:val="24"/>
          <w:szCs w:val="24"/>
        </w:rPr>
        <w:t xml:space="preserve"> to be less </w:t>
      </w:r>
      <w:r w:rsidR="00C934D9">
        <w:rPr>
          <w:rFonts w:ascii="Times New Roman" w:hAnsi="Times New Roman" w:cs="Times New Roman"/>
          <w:sz w:val="24"/>
          <w:szCs w:val="24"/>
        </w:rPr>
        <w:t xml:space="preserve">likely </w:t>
      </w:r>
      <w:r w:rsidRPr="00591470">
        <w:rPr>
          <w:rFonts w:ascii="Times New Roman" w:hAnsi="Times New Roman" w:cs="Times New Roman"/>
          <w:sz w:val="24"/>
          <w:szCs w:val="24"/>
        </w:rPr>
        <w:t xml:space="preserve">released on pretrial.  There were no statistical differences in mean scores between males and females. There were no statistical differences in mean scores for race or ethnicity. The findings suggest there is no disparate impact based on race, ethnicity, or gender. </w:t>
      </w:r>
      <w:r w:rsidR="00E65A98">
        <w:rPr>
          <w:rFonts w:ascii="Times New Roman" w:hAnsi="Times New Roman" w:cs="Times New Roman"/>
          <w:sz w:val="24"/>
          <w:szCs w:val="24"/>
        </w:rPr>
        <w:t>Table</w:t>
      </w:r>
      <w:r w:rsidRPr="00591470">
        <w:rPr>
          <w:rFonts w:ascii="Times New Roman" w:hAnsi="Times New Roman" w:cs="Times New Roman"/>
          <w:sz w:val="24"/>
          <w:szCs w:val="24"/>
        </w:rPr>
        <w:t xml:space="preserve">s </w:t>
      </w:r>
      <w:r w:rsidR="00050E10">
        <w:rPr>
          <w:rFonts w:ascii="Times New Roman" w:hAnsi="Times New Roman" w:cs="Times New Roman"/>
          <w:sz w:val="24"/>
          <w:szCs w:val="24"/>
        </w:rPr>
        <w:t>15</w:t>
      </w:r>
      <w:r w:rsidRPr="00591470">
        <w:rPr>
          <w:rFonts w:ascii="Times New Roman" w:hAnsi="Times New Roman" w:cs="Times New Roman"/>
          <w:sz w:val="24"/>
          <w:szCs w:val="24"/>
        </w:rPr>
        <w:t xml:space="preserve"> and </w:t>
      </w:r>
      <w:r w:rsidR="00050E10">
        <w:rPr>
          <w:rFonts w:ascii="Times New Roman" w:hAnsi="Times New Roman" w:cs="Times New Roman"/>
          <w:sz w:val="24"/>
          <w:szCs w:val="24"/>
        </w:rPr>
        <w:t xml:space="preserve">16 </w:t>
      </w:r>
      <w:r w:rsidRPr="00591470">
        <w:rPr>
          <w:rFonts w:ascii="Times New Roman" w:hAnsi="Times New Roman" w:cs="Times New Roman"/>
          <w:sz w:val="24"/>
          <w:szCs w:val="24"/>
        </w:rPr>
        <w:t xml:space="preserve">demonstrate the mean risk scores based on race, ethnicity, and gender categories. </w:t>
      </w:r>
      <w:r w:rsidR="00030A6B">
        <w:rPr>
          <w:rFonts w:ascii="Times New Roman" w:hAnsi="Times New Roman" w:cs="Times New Roman"/>
          <w:sz w:val="24"/>
          <w:szCs w:val="24"/>
        </w:rPr>
        <w:t>It was</w:t>
      </w:r>
      <w:r w:rsidRPr="00591470">
        <w:rPr>
          <w:rFonts w:ascii="Times New Roman" w:hAnsi="Times New Roman" w:cs="Times New Roman"/>
          <w:sz w:val="24"/>
          <w:szCs w:val="24"/>
        </w:rPr>
        <w:t xml:space="preserve"> observe</w:t>
      </w:r>
      <w:r w:rsidR="00030A6B">
        <w:rPr>
          <w:rFonts w:ascii="Times New Roman" w:hAnsi="Times New Roman" w:cs="Times New Roman"/>
          <w:sz w:val="24"/>
          <w:szCs w:val="24"/>
        </w:rPr>
        <w:t>d</w:t>
      </w:r>
      <w:r w:rsidRPr="00591470">
        <w:rPr>
          <w:rFonts w:ascii="Times New Roman" w:hAnsi="Times New Roman" w:cs="Times New Roman"/>
          <w:sz w:val="24"/>
          <w:szCs w:val="24"/>
        </w:rPr>
        <w:t xml:space="preserve"> that the mean risk score of individuals overall assessed is higher than the sample under pretrial supervision. </w:t>
      </w:r>
    </w:p>
    <w:p w14:paraId="00E702A3" w14:textId="72EDFB4B" w:rsidR="00CA3863" w:rsidRPr="003002C1" w:rsidRDefault="00E65A98" w:rsidP="00CA3863">
      <w:pPr>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050E10">
        <w:rPr>
          <w:rFonts w:ascii="Times New Roman" w:hAnsi="Times New Roman" w:cs="Times New Roman"/>
          <w:b/>
          <w:bCs/>
          <w:sz w:val="24"/>
          <w:szCs w:val="24"/>
        </w:rPr>
        <w:t>15</w:t>
      </w:r>
      <w:r w:rsidR="00CA3863" w:rsidRPr="003002C1">
        <w:rPr>
          <w:rFonts w:ascii="Times New Roman" w:hAnsi="Times New Roman" w:cs="Times New Roman"/>
          <w:b/>
          <w:bCs/>
          <w:sz w:val="24"/>
          <w:szCs w:val="24"/>
        </w:rPr>
        <w:t>: Disparate impact: risk scores on those released under pretrial supervision (n=160)</w:t>
      </w:r>
    </w:p>
    <w:tbl>
      <w:tblPr>
        <w:tblStyle w:val="TableGrid"/>
        <w:tblW w:w="0" w:type="auto"/>
        <w:tblLook w:val="04A0" w:firstRow="1" w:lastRow="0" w:firstColumn="1" w:lastColumn="0" w:noHBand="0" w:noVBand="1"/>
      </w:tblPr>
      <w:tblGrid>
        <w:gridCol w:w="995"/>
        <w:gridCol w:w="1470"/>
        <w:gridCol w:w="1453"/>
        <w:gridCol w:w="962"/>
        <w:gridCol w:w="1275"/>
        <w:gridCol w:w="1081"/>
        <w:gridCol w:w="984"/>
        <w:gridCol w:w="984"/>
      </w:tblGrid>
      <w:tr w:rsidR="00F8147C" w:rsidRPr="003002C1" w14:paraId="76DA253D" w14:textId="77777777" w:rsidTr="00F8147C">
        <w:trPr>
          <w:trHeight w:val="287"/>
        </w:trPr>
        <w:tc>
          <w:tcPr>
            <w:tcW w:w="9204" w:type="dxa"/>
            <w:gridSpan w:val="8"/>
          </w:tcPr>
          <w:p w14:paraId="34E2AB80" w14:textId="2EA4CFEA" w:rsidR="00F8147C" w:rsidRPr="003002C1" w:rsidRDefault="00F8147C" w:rsidP="00A07AC4">
            <w:pPr>
              <w:jc w:val="both"/>
              <w:rPr>
                <w:rFonts w:ascii="Times New Roman" w:hAnsi="Times New Roman" w:cs="Times New Roman"/>
              </w:rPr>
            </w:pPr>
            <w:r w:rsidRPr="003002C1">
              <w:rPr>
                <w:rFonts w:ascii="Times New Roman" w:hAnsi="Times New Roman" w:cs="Times New Roman"/>
              </w:rPr>
              <w:t>Mean Risk Scores</w:t>
            </w:r>
          </w:p>
        </w:tc>
      </w:tr>
      <w:tr w:rsidR="00CA3863" w:rsidRPr="003002C1" w14:paraId="5C24C53E" w14:textId="77777777" w:rsidTr="00A84B2C">
        <w:trPr>
          <w:trHeight w:val="563"/>
        </w:trPr>
        <w:tc>
          <w:tcPr>
            <w:tcW w:w="995" w:type="dxa"/>
          </w:tcPr>
          <w:p w14:paraId="395CE0B0" w14:textId="77777777" w:rsidR="00CA3863" w:rsidRPr="003002C1" w:rsidRDefault="00CA3863" w:rsidP="00A07AC4">
            <w:pPr>
              <w:jc w:val="both"/>
              <w:rPr>
                <w:rFonts w:ascii="Times New Roman" w:hAnsi="Times New Roman" w:cs="Times New Roman"/>
              </w:rPr>
            </w:pPr>
          </w:p>
        </w:tc>
        <w:tc>
          <w:tcPr>
            <w:tcW w:w="1470" w:type="dxa"/>
          </w:tcPr>
          <w:p w14:paraId="3B247FA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Males</w:t>
            </w:r>
          </w:p>
          <w:p w14:paraId="0241119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(n=122)</w:t>
            </w:r>
          </w:p>
        </w:tc>
        <w:tc>
          <w:tcPr>
            <w:tcW w:w="1453" w:type="dxa"/>
          </w:tcPr>
          <w:p w14:paraId="154BA57F"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Females</w:t>
            </w:r>
          </w:p>
          <w:p w14:paraId="1218A70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(n=38)</w:t>
            </w:r>
          </w:p>
        </w:tc>
        <w:tc>
          <w:tcPr>
            <w:tcW w:w="962" w:type="dxa"/>
          </w:tcPr>
          <w:p w14:paraId="56CB556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White</w:t>
            </w:r>
          </w:p>
          <w:p w14:paraId="51986FA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(n=51) </w:t>
            </w:r>
          </w:p>
        </w:tc>
        <w:tc>
          <w:tcPr>
            <w:tcW w:w="1275" w:type="dxa"/>
          </w:tcPr>
          <w:p w14:paraId="5FFFBFE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Black</w:t>
            </w:r>
          </w:p>
          <w:p w14:paraId="71717B72"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(n=75)</w:t>
            </w:r>
          </w:p>
        </w:tc>
        <w:tc>
          <w:tcPr>
            <w:tcW w:w="1081" w:type="dxa"/>
          </w:tcPr>
          <w:p w14:paraId="2999BAA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Latine</w:t>
            </w:r>
          </w:p>
          <w:p w14:paraId="099A646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(n=27)</w:t>
            </w:r>
          </w:p>
        </w:tc>
        <w:tc>
          <w:tcPr>
            <w:tcW w:w="984" w:type="dxa"/>
          </w:tcPr>
          <w:p w14:paraId="030B4F3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Asian</w:t>
            </w:r>
          </w:p>
          <w:p w14:paraId="63EAAB7F"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(n=5)</w:t>
            </w:r>
          </w:p>
        </w:tc>
        <w:tc>
          <w:tcPr>
            <w:tcW w:w="984" w:type="dxa"/>
          </w:tcPr>
          <w:p w14:paraId="3CC2220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Other</w:t>
            </w:r>
          </w:p>
          <w:p w14:paraId="7EA0067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w:t>
            </w:r>
          </w:p>
        </w:tc>
      </w:tr>
      <w:tr w:rsidR="00CA3863" w:rsidRPr="003002C1" w14:paraId="6BFBDD3B" w14:textId="77777777" w:rsidTr="00A84B2C">
        <w:trPr>
          <w:trHeight w:val="860"/>
        </w:trPr>
        <w:tc>
          <w:tcPr>
            <w:tcW w:w="995" w:type="dxa"/>
          </w:tcPr>
          <w:p w14:paraId="09AFB66A"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w:t>
            </w:r>
          </w:p>
        </w:tc>
        <w:tc>
          <w:tcPr>
            <w:tcW w:w="1470" w:type="dxa"/>
          </w:tcPr>
          <w:p w14:paraId="34F5C0A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4.0645</w:t>
            </w:r>
          </w:p>
        </w:tc>
        <w:tc>
          <w:tcPr>
            <w:tcW w:w="1453" w:type="dxa"/>
          </w:tcPr>
          <w:p w14:paraId="52EC665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4.4651</w:t>
            </w:r>
          </w:p>
        </w:tc>
        <w:tc>
          <w:tcPr>
            <w:tcW w:w="962" w:type="dxa"/>
          </w:tcPr>
          <w:p w14:paraId="521FD14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4.25</w:t>
            </w:r>
          </w:p>
        </w:tc>
        <w:tc>
          <w:tcPr>
            <w:tcW w:w="1275" w:type="dxa"/>
          </w:tcPr>
          <w:p w14:paraId="29AB91CB"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3.88</w:t>
            </w:r>
          </w:p>
        </w:tc>
        <w:tc>
          <w:tcPr>
            <w:tcW w:w="1081" w:type="dxa"/>
          </w:tcPr>
          <w:p w14:paraId="3604D0CB"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4.07</w:t>
            </w:r>
          </w:p>
        </w:tc>
        <w:tc>
          <w:tcPr>
            <w:tcW w:w="984" w:type="dxa"/>
          </w:tcPr>
          <w:p w14:paraId="71CAD07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3.8</w:t>
            </w:r>
          </w:p>
        </w:tc>
        <w:tc>
          <w:tcPr>
            <w:tcW w:w="984" w:type="dxa"/>
          </w:tcPr>
          <w:p w14:paraId="0CAD35F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w:t>
            </w:r>
          </w:p>
        </w:tc>
      </w:tr>
    </w:tbl>
    <w:p w14:paraId="3863097C" w14:textId="77777777"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There were no statistical differences in mean scores by race, ethnicity, or gender. </w:t>
      </w:r>
    </w:p>
    <w:p w14:paraId="4A6FA6FF" w14:textId="3E93BB6D" w:rsidR="00CA3863" w:rsidRPr="003002C1" w:rsidRDefault="00E65A98" w:rsidP="00CA3863">
      <w:pPr>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050E10">
        <w:rPr>
          <w:rFonts w:ascii="Times New Roman" w:hAnsi="Times New Roman" w:cs="Times New Roman"/>
          <w:b/>
          <w:bCs/>
          <w:sz w:val="24"/>
          <w:szCs w:val="24"/>
        </w:rPr>
        <w:t>16</w:t>
      </w:r>
      <w:r w:rsidR="00CA3863" w:rsidRPr="003002C1">
        <w:rPr>
          <w:rFonts w:ascii="Times New Roman" w:hAnsi="Times New Roman" w:cs="Times New Roman"/>
          <w:b/>
          <w:bCs/>
          <w:sz w:val="24"/>
          <w:szCs w:val="24"/>
        </w:rPr>
        <w:t xml:space="preserve">: Disparate impact: mean risk regardless of all assessed (n=753) </w:t>
      </w:r>
    </w:p>
    <w:tbl>
      <w:tblPr>
        <w:tblStyle w:val="TableGrid"/>
        <w:tblW w:w="0" w:type="auto"/>
        <w:tblLook w:val="04A0" w:firstRow="1" w:lastRow="0" w:firstColumn="1" w:lastColumn="0" w:noHBand="0" w:noVBand="1"/>
      </w:tblPr>
      <w:tblGrid>
        <w:gridCol w:w="781"/>
        <w:gridCol w:w="992"/>
        <w:gridCol w:w="1054"/>
        <w:gridCol w:w="1255"/>
        <w:gridCol w:w="992"/>
        <w:gridCol w:w="992"/>
        <w:gridCol w:w="959"/>
        <w:gridCol w:w="1207"/>
        <w:gridCol w:w="1118"/>
      </w:tblGrid>
      <w:tr w:rsidR="00CA3863" w:rsidRPr="003002C1" w14:paraId="4D653BE9" w14:textId="77777777" w:rsidTr="00A07AC4">
        <w:tc>
          <w:tcPr>
            <w:tcW w:w="9350" w:type="dxa"/>
            <w:gridSpan w:val="9"/>
          </w:tcPr>
          <w:p w14:paraId="38667362"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Scores</w:t>
            </w:r>
          </w:p>
        </w:tc>
      </w:tr>
      <w:tr w:rsidR="00CA3863" w:rsidRPr="003002C1" w14:paraId="4671B354" w14:textId="77777777" w:rsidTr="00A07AC4">
        <w:tc>
          <w:tcPr>
            <w:tcW w:w="781" w:type="dxa"/>
          </w:tcPr>
          <w:p w14:paraId="3FB83429" w14:textId="77777777" w:rsidR="00CA3863" w:rsidRPr="003002C1" w:rsidRDefault="00CA3863" w:rsidP="00A07AC4">
            <w:pPr>
              <w:jc w:val="both"/>
              <w:rPr>
                <w:rFonts w:ascii="Times New Roman" w:hAnsi="Times New Roman" w:cs="Times New Roman"/>
              </w:rPr>
            </w:pPr>
          </w:p>
        </w:tc>
        <w:tc>
          <w:tcPr>
            <w:tcW w:w="992" w:type="dxa"/>
          </w:tcPr>
          <w:p w14:paraId="18B5CC8F"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Males</w:t>
            </w:r>
          </w:p>
          <w:p w14:paraId="11753E4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(n=594)</w:t>
            </w:r>
          </w:p>
        </w:tc>
        <w:tc>
          <w:tcPr>
            <w:tcW w:w="1054" w:type="dxa"/>
          </w:tcPr>
          <w:p w14:paraId="59E1EED8"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Females</w:t>
            </w:r>
          </w:p>
          <w:p w14:paraId="4B94CD4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(n=159)</w:t>
            </w:r>
          </w:p>
        </w:tc>
        <w:tc>
          <w:tcPr>
            <w:tcW w:w="1255" w:type="dxa"/>
          </w:tcPr>
          <w:p w14:paraId="269308F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White</w:t>
            </w:r>
          </w:p>
          <w:p w14:paraId="71CB90BE"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 (n=264)</w:t>
            </w:r>
          </w:p>
        </w:tc>
        <w:tc>
          <w:tcPr>
            <w:tcW w:w="992" w:type="dxa"/>
          </w:tcPr>
          <w:p w14:paraId="297CBEE3"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Black</w:t>
            </w:r>
          </w:p>
          <w:p w14:paraId="31B3D9AA"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(n=275)</w:t>
            </w:r>
          </w:p>
        </w:tc>
        <w:tc>
          <w:tcPr>
            <w:tcW w:w="992" w:type="dxa"/>
          </w:tcPr>
          <w:p w14:paraId="5BB2285F"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Latine</w:t>
            </w:r>
          </w:p>
          <w:p w14:paraId="5CC3A7A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(n=165)</w:t>
            </w:r>
          </w:p>
        </w:tc>
        <w:tc>
          <w:tcPr>
            <w:tcW w:w="959" w:type="dxa"/>
          </w:tcPr>
          <w:p w14:paraId="5903245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Asian</w:t>
            </w:r>
          </w:p>
          <w:p w14:paraId="68959DFA"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(n=28)</w:t>
            </w:r>
          </w:p>
        </w:tc>
        <w:tc>
          <w:tcPr>
            <w:tcW w:w="1207" w:type="dxa"/>
          </w:tcPr>
          <w:p w14:paraId="4EDA7C8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Native American </w:t>
            </w:r>
          </w:p>
          <w:p w14:paraId="2EE71DEE"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(n=3)</w:t>
            </w:r>
          </w:p>
        </w:tc>
        <w:tc>
          <w:tcPr>
            <w:tcW w:w="1118" w:type="dxa"/>
          </w:tcPr>
          <w:p w14:paraId="73740EB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Other</w:t>
            </w:r>
          </w:p>
          <w:p w14:paraId="4665B23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(n=18)</w:t>
            </w:r>
          </w:p>
        </w:tc>
      </w:tr>
      <w:tr w:rsidR="00CA3863" w:rsidRPr="003002C1" w14:paraId="60B042B4" w14:textId="77777777" w:rsidTr="00A07AC4">
        <w:tc>
          <w:tcPr>
            <w:tcW w:w="781" w:type="dxa"/>
          </w:tcPr>
          <w:p w14:paraId="12F979D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w:t>
            </w:r>
          </w:p>
        </w:tc>
        <w:tc>
          <w:tcPr>
            <w:tcW w:w="992" w:type="dxa"/>
          </w:tcPr>
          <w:p w14:paraId="07C38B7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4.75</w:t>
            </w:r>
          </w:p>
        </w:tc>
        <w:tc>
          <w:tcPr>
            <w:tcW w:w="1054" w:type="dxa"/>
          </w:tcPr>
          <w:p w14:paraId="73CA18B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4.98</w:t>
            </w:r>
          </w:p>
        </w:tc>
        <w:tc>
          <w:tcPr>
            <w:tcW w:w="1255" w:type="dxa"/>
          </w:tcPr>
          <w:p w14:paraId="2B22FF12"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5.13</w:t>
            </w:r>
          </w:p>
        </w:tc>
        <w:tc>
          <w:tcPr>
            <w:tcW w:w="992" w:type="dxa"/>
          </w:tcPr>
          <w:p w14:paraId="78A0203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4.66</w:t>
            </w:r>
          </w:p>
        </w:tc>
        <w:tc>
          <w:tcPr>
            <w:tcW w:w="992" w:type="dxa"/>
          </w:tcPr>
          <w:p w14:paraId="3201C80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4.5</w:t>
            </w:r>
          </w:p>
        </w:tc>
        <w:tc>
          <w:tcPr>
            <w:tcW w:w="959" w:type="dxa"/>
          </w:tcPr>
          <w:p w14:paraId="0963CF2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5.43</w:t>
            </w:r>
          </w:p>
        </w:tc>
        <w:tc>
          <w:tcPr>
            <w:tcW w:w="1207" w:type="dxa"/>
          </w:tcPr>
          <w:p w14:paraId="550DA78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5.43</w:t>
            </w:r>
          </w:p>
        </w:tc>
        <w:tc>
          <w:tcPr>
            <w:tcW w:w="1118" w:type="dxa"/>
          </w:tcPr>
          <w:p w14:paraId="07E1135B"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3.89</w:t>
            </w:r>
          </w:p>
        </w:tc>
      </w:tr>
    </w:tbl>
    <w:p w14:paraId="64FBD984" w14:textId="77777777"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There were no statistical differences in mean scores by race, ethnicity, or gender. </w:t>
      </w:r>
    </w:p>
    <w:p w14:paraId="2CD48CE6" w14:textId="77777777" w:rsidR="00CA3863" w:rsidRPr="003002C1" w:rsidRDefault="00CA3863" w:rsidP="00CA3863">
      <w:pPr>
        <w:jc w:val="both"/>
        <w:rPr>
          <w:rFonts w:ascii="Times New Roman" w:hAnsi="Times New Roman" w:cs="Times New Roman"/>
          <w:b/>
          <w:bCs/>
          <w:sz w:val="24"/>
          <w:szCs w:val="24"/>
        </w:rPr>
      </w:pPr>
      <w:r w:rsidRPr="000A1C52">
        <w:rPr>
          <w:rFonts w:ascii="Times New Roman" w:hAnsi="Times New Roman" w:cs="Times New Roman"/>
          <w:b/>
          <w:bCs/>
          <w:color w:val="4472C4" w:themeColor="accent1"/>
          <w:sz w:val="24"/>
          <w:szCs w:val="24"/>
        </w:rPr>
        <w:t>Discussion</w:t>
      </w:r>
      <w:r w:rsidRPr="003002C1">
        <w:rPr>
          <w:rFonts w:ascii="Times New Roman" w:hAnsi="Times New Roman" w:cs="Times New Roman"/>
          <w:b/>
          <w:bCs/>
          <w:sz w:val="24"/>
          <w:szCs w:val="24"/>
        </w:rPr>
        <w:t xml:space="preserve"> </w:t>
      </w:r>
    </w:p>
    <w:p w14:paraId="04E7D32F" w14:textId="6BB86B6C" w:rsidR="00607D1E"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ab/>
      </w:r>
      <w:r w:rsidR="00DD33AE" w:rsidRPr="00DD33AE">
        <w:rPr>
          <w:rFonts w:ascii="Times New Roman" w:hAnsi="Times New Roman" w:cs="Times New Roman"/>
          <w:sz w:val="24"/>
          <w:szCs w:val="24"/>
        </w:rPr>
        <w:t>Overall, the FTA rates increase</w:t>
      </w:r>
      <w:r w:rsidR="00696316">
        <w:rPr>
          <w:rFonts w:ascii="Times New Roman" w:hAnsi="Times New Roman" w:cs="Times New Roman"/>
          <w:sz w:val="24"/>
          <w:szCs w:val="24"/>
        </w:rPr>
        <w:t>d</w:t>
      </w:r>
      <w:r w:rsidR="00DD33AE" w:rsidRPr="00DD33AE">
        <w:rPr>
          <w:rFonts w:ascii="Times New Roman" w:hAnsi="Times New Roman" w:cs="Times New Roman"/>
          <w:sz w:val="24"/>
          <w:szCs w:val="24"/>
        </w:rPr>
        <w:t xml:space="preserve"> as the ORAS-PAT risk level increase</w:t>
      </w:r>
      <w:r w:rsidR="00696316">
        <w:rPr>
          <w:rFonts w:ascii="Times New Roman" w:hAnsi="Times New Roman" w:cs="Times New Roman"/>
          <w:sz w:val="24"/>
          <w:szCs w:val="24"/>
        </w:rPr>
        <w:t>d</w:t>
      </w:r>
      <w:r w:rsidR="00DD33AE" w:rsidRPr="00DD33AE">
        <w:rPr>
          <w:rFonts w:ascii="Times New Roman" w:hAnsi="Times New Roman" w:cs="Times New Roman"/>
          <w:sz w:val="24"/>
          <w:szCs w:val="24"/>
        </w:rPr>
        <w:t xml:space="preserve">, and these increases </w:t>
      </w:r>
      <w:r w:rsidR="00696316">
        <w:rPr>
          <w:rFonts w:ascii="Times New Roman" w:hAnsi="Times New Roman" w:cs="Times New Roman"/>
          <w:sz w:val="24"/>
          <w:szCs w:val="24"/>
        </w:rPr>
        <w:t>were</w:t>
      </w:r>
      <w:r w:rsidR="00DD33AE" w:rsidRPr="00DD33AE">
        <w:rPr>
          <w:rFonts w:ascii="Times New Roman" w:hAnsi="Times New Roman" w:cs="Times New Roman"/>
          <w:sz w:val="24"/>
          <w:szCs w:val="24"/>
        </w:rPr>
        <w:t xml:space="preserve"> statistically significant. Indicating that the increases in FTA rate are not by chance; the risk level does predict FTA. At the same time, the FTA rates increase as the ORAS-PAT risk score increases are not statistically significant. The findings suggest that the total score can be adjusted to predict the Solano population accurately. Those who received a score of 7 did not fail to appear as predicted.  The logistic regression model predicting the likelihood of FTA, arrest, and total revocations were consistent that risk score was statistically significant at predicting FTA, arrest, or total revocation. Although the covariates of race and gender do not seem to predict FTA, arrest, or revocations, suggesting no racial bias.  The strength of ORAS-PAT on FTA rates by subgroups means that the prediction for Black or Latine individuals is less compared to whites. The predictive strength varied for Black and Latine individuals. The difference in strength may be due to the high-risk category, which is lower than expected for high-risk level individuals. Testing individual items of the tool will allow a better explanation of why there is a difference in prediction </w:t>
      </w:r>
      <w:r w:rsidR="00DD33AE" w:rsidRPr="00DD33AE">
        <w:rPr>
          <w:rFonts w:ascii="Times New Roman" w:hAnsi="Times New Roman" w:cs="Times New Roman"/>
          <w:sz w:val="24"/>
          <w:szCs w:val="24"/>
        </w:rPr>
        <w:lastRenderedPageBreak/>
        <w:t xml:space="preserve">strength. At this moment, Probation is unable to retrieve that data due to a change in </w:t>
      </w:r>
      <w:r w:rsidR="000A1C52">
        <w:rPr>
          <w:rFonts w:ascii="Times New Roman" w:hAnsi="Times New Roman" w:cs="Times New Roman"/>
          <w:sz w:val="24"/>
          <w:szCs w:val="24"/>
        </w:rPr>
        <w:t>their</w:t>
      </w:r>
      <w:r w:rsidR="00DD33AE" w:rsidRPr="00DD33AE">
        <w:rPr>
          <w:rFonts w:ascii="Times New Roman" w:hAnsi="Times New Roman" w:cs="Times New Roman"/>
          <w:sz w:val="24"/>
          <w:szCs w:val="24"/>
        </w:rPr>
        <w:t xml:space="preserve"> data management system. What can be concluded is that the risk levels do not accurately predict for nonwhites, not because they have a higher FTA, but because they have a lower FTA. There was no gender bias, and the tool predicted a slight increase in FTA rates as risk levels increased by gender.</w:t>
      </w:r>
    </w:p>
    <w:p w14:paraId="0FF2B702" w14:textId="4D099D64" w:rsidR="00CA3863" w:rsidRPr="003002C1" w:rsidRDefault="00CA3863" w:rsidP="00CA3863">
      <w:pPr>
        <w:jc w:val="both"/>
        <w:rPr>
          <w:rFonts w:ascii="Times New Roman" w:hAnsi="Times New Roman" w:cs="Times New Roman"/>
          <w:b/>
          <w:bCs/>
          <w:color w:val="4472C4" w:themeColor="accent1"/>
          <w:sz w:val="24"/>
          <w:szCs w:val="24"/>
        </w:rPr>
      </w:pPr>
      <w:r w:rsidRPr="003002C1">
        <w:rPr>
          <w:rFonts w:ascii="Times New Roman" w:hAnsi="Times New Roman" w:cs="Times New Roman"/>
          <w:b/>
          <w:bCs/>
          <w:color w:val="4472C4" w:themeColor="accent1"/>
          <w:sz w:val="24"/>
          <w:szCs w:val="24"/>
        </w:rPr>
        <w:t xml:space="preserve">2020 Tool Validation: </w:t>
      </w:r>
    </w:p>
    <w:p w14:paraId="6D639161" w14:textId="70DAC773" w:rsidR="00CA3863" w:rsidRPr="003002C1" w:rsidRDefault="00CA3863" w:rsidP="00CA3863">
      <w:pPr>
        <w:jc w:val="both"/>
        <w:rPr>
          <w:rFonts w:ascii="Times New Roman" w:hAnsi="Times New Roman" w:cs="Times New Roman"/>
          <w:b/>
          <w:bCs/>
          <w:color w:val="4472C4" w:themeColor="accent1"/>
          <w:sz w:val="24"/>
          <w:szCs w:val="24"/>
        </w:rPr>
      </w:pPr>
      <w:r w:rsidRPr="003002C1">
        <w:rPr>
          <w:rFonts w:ascii="Times New Roman" w:hAnsi="Times New Roman" w:cs="Times New Roman"/>
          <w:sz w:val="24"/>
          <w:szCs w:val="24"/>
        </w:rPr>
        <w:t xml:space="preserve"> The 2020 data consisted of n=198, of which 78% </w:t>
      </w:r>
      <w:r w:rsidR="004653CF">
        <w:rPr>
          <w:rFonts w:ascii="Times New Roman" w:hAnsi="Times New Roman" w:cs="Times New Roman"/>
          <w:sz w:val="24"/>
          <w:szCs w:val="24"/>
        </w:rPr>
        <w:t>were</w:t>
      </w:r>
      <w:r w:rsidRPr="003002C1">
        <w:rPr>
          <w:rFonts w:ascii="Times New Roman" w:hAnsi="Times New Roman" w:cs="Times New Roman"/>
          <w:sz w:val="24"/>
          <w:szCs w:val="24"/>
        </w:rPr>
        <w:t xml:space="preserve"> male, and approximately 22% </w:t>
      </w:r>
      <w:r w:rsidR="004653CF">
        <w:rPr>
          <w:rFonts w:ascii="Times New Roman" w:hAnsi="Times New Roman" w:cs="Times New Roman"/>
          <w:sz w:val="24"/>
          <w:szCs w:val="24"/>
        </w:rPr>
        <w:t>were</w:t>
      </w:r>
      <w:r w:rsidRPr="003002C1">
        <w:rPr>
          <w:rFonts w:ascii="Times New Roman" w:hAnsi="Times New Roman" w:cs="Times New Roman"/>
          <w:sz w:val="24"/>
          <w:szCs w:val="24"/>
        </w:rPr>
        <w:t xml:space="preserve"> female. The</w:t>
      </w:r>
      <w:r w:rsidR="004653CF">
        <w:rPr>
          <w:rFonts w:ascii="Times New Roman" w:hAnsi="Times New Roman" w:cs="Times New Roman"/>
          <w:sz w:val="24"/>
          <w:szCs w:val="24"/>
        </w:rPr>
        <w:t xml:space="preserve"> sample</w:t>
      </w:r>
      <w:r w:rsidRPr="003002C1">
        <w:rPr>
          <w:rFonts w:ascii="Times New Roman" w:hAnsi="Times New Roman" w:cs="Times New Roman"/>
          <w:sz w:val="24"/>
          <w:szCs w:val="24"/>
        </w:rPr>
        <w:t xml:space="preserve"> race composition is 40% Black, 25% white, 24% Latine, </w:t>
      </w:r>
      <w:r w:rsidR="004653CF">
        <w:rPr>
          <w:rFonts w:ascii="Times New Roman" w:hAnsi="Times New Roman" w:cs="Times New Roman"/>
          <w:sz w:val="24"/>
          <w:szCs w:val="24"/>
        </w:rPr>
        <w:t xml:space="preserve">approximately </w:t>
      </w:r>
      <w:r w:rsidRPr="003002C1">
        <w:rPr>
          <w:rFonts w:ascii="Times New Roman" w:hAnsi="Times New Roman" w:cs="Times New Roman"/>
          <w:sz w:val="24"/>
          <w:szCs w:val="24"/>
        </w:rPr>
        <w:t xml:space="preserve">9% Asian, less than </w:t>
      </w:r>
      <w:r w:rsidR="00F47784">
        <w:rPr>
          <w:rFonts w:ascii="Times New Roman" w:hAnsi="Times New Roman" w:cs="Times New Roman"/>
          <w:sz w:val="24"/>
          <w:szCs w:val="24"/>
        </w:rPr>
        <w:t>one percent</w:t>
      </w:r>
      <w:r w:rsidRPr="003002C1">
        <w:rPr>
          <w:rFonts w:ascii="Times New Roman" w:hAnsi="Times New Roman" w:cs="Times New Roman"/>
          <w:sz w:val="24"/>
          <w:szCs w:val="24"/>
        </w:rPr>
        <w:t xml:space="preserve"> Native American, and less than </w:t>
      </w:r>
      <w:r w:rsidR="00F47784">
        <w:rPr>
          <w:rFonts w:ascii="Times New Roman" w:hAnsi="Times New Roman" w:cs="Times New Roman"/>
          <w:sz w:val="24"/>
          <w:szCs w:val="24"/>
        </w:rPr>
        <w:t>one percent</w:t>
      </w:r>
      <w:r w:rsidRPr="003002C1">
        <w:rPr>
          <w:rFonts w:ascii="Times New Roman" w:hAnsi="Times New Roman" w:cs="Times New Roman"/>
          <w:sz w:val="24"/>
          <w:szCs w:val="24"/>
        </w:rPr>
        <w:t xml:space="preserve"> other. </w:t>
      </w:r>
      <w:r w:rsidR="00E65A98">
        <w:rPr>
          <w:rFonts w:ascii="Times New Roman" w:hAnsi="Times New Roman" w:cs="Times New Roman"/>
          <w:sz w:val="24"/>
          <w:szCs w:val="24"/>
        </w:rPr>
        <w:t>Table</w:t>
      </w:r>
      <w:r w:rsidRPr="003002C1">
        <w:rPr>
          <w:rFonts w:ascii="Times New Roman" w:hAnsi="Times New Roman" w:cs="Times New Roman"/>
          <w:sz w:val="24"/>
          <w:szCs w:val="24"/>
        </w:rPr>
        <w:t xml:space="preserve">s </w:t>
      </w:r>
      <w:r w:rsidR="00225BE6">
        <w:rPr>
          <w:rFonts w:ascii="Times New Roman" w:hAnsi="Times New Roman" w:cs="Times New Roman"/>
          <w:sz w:val="24"/>
          <w:szCs w:val="24"/>
        </w:rPr>
        <w:t>17</w:t>
      </w:r>
      <w:r w:rsidRPr="003002C1">
        <w:rPr>
          <w:rFonts w:ascii="Times New Roman" w:hAnsi="Times New Roman" w:cs="Times New Roman"/>
          <w:sz w:val="24"/>
          <w:szCs w:val="24"/>
        </w:rPr>
        <w:t xml:space="preserve"> - </w:t>
      </w:r>
      <w:r w:rsidR="00225BE6">
        <w:rPr>
          <w:rFonts w:ascii="Times New Roman" w:hAnsi="Times New Roman" w:cs="Times New Roman"/>
          <w:sz w:val="24"/>
          <w:szCs w:val="24"/>
        </w:rPr>
        <w:t>20</w:t>
      </w:r>
      <w:r w:rsidRPr="003002C1">
        <w:rPr>
          <w:rFonts w:ascii="Times New Roman" w:hAnsi="Times New Roman" w:cs="Times New Roman"/>
          <w:sz w:val="24"/>
          <w:szCs w:val="24"/>
        </w:rPr>
        <w:t xml:space="preserve"> illustrate the descriptive statistics for the sample population released under pretrial supervision. It illustrates that the overall FTA rate </w:t>
      </w:r>
      <w:r w:rsidR="004653CF">
        <w:rPr>
          <w:rFonts w:ascii="Times New Roman" w:hAnsi="Times New Roman" w:cs="Times New Roman"/>
          <w:sz w:val="24"/>
          <w:szCs w:val="24"/>
        </w:rPr>
        <w:t>was</w:t>
      </w:r>
      <w:r w:rsidRPr="003002C1">
        <w:rPr>
          <w:rFonts w:ascii="Times New Roman" w:hAnsi="Times New Roman" w:cs="Times New Roman"/>
          <w:sz w:val="24"/>
          <w:szCs w:val="24"/>
        </w:rPr>
        <w:t xml:space="preserve"> 17%, the rate for new arrest </w:t>
      </w:r>
      <w:r w:rsidR="004653CF">
        <w:rPr>
          <w:rFonts w:ascii="Times New Roman" w:hAnsi="Times New Roman" w:cs="Times New Roman"/>
          <w:sz w:val="24"/>
          <w:szCs w:val="24"/>
        </w:rPr>
        <w:t>was</w:t>
      </w:r>
      <w:r w:rsidRPr="003002C1">
        <w:rPr>
          <w:rFonts w:ascii="Times New Roman" w:hAnsi="Times New Roman" w:cs="Times New Roman"/>
          <w:sz w:val="24"/>
          <w:szCs w:val="24"/>
        </w:rPr>
        <w:t xml:space="preserve"> 6%, and total revocations </w:t>
      </w:r>
      <w:r w:rsidR="004653CF">
        <w:rPr>
          <w:rFonts w:ascii="Times New Roman" w:hAnsi="Times New Roman" w:cs="Times New Roman"/>
          <w:sz w:val="24"/>
          <w:szCs w:val="24"/>
        </w:rPr>
        <w:t>were</w:t>
      </w:r>
      <w:r w:rsidRPr="003002C1">
        <w:rPr>
          <w:rFonts w:ascii="Times New Roman" w:hAnsi="Times New Roman" w:cs="Times New Roman"/>
          <w:sz w:val="24"/>
          <w:szCs w:val="24"/>
        </w:rPr>
        <w:t xml:space="preserve"> 27%. In addition, the average total risk score </w:t>
      </w:r>
      <w:r w:rsidR="004653CF">
        <w:rPr>
          <w:rFonts w:ascii="Times New Roman" w:hAnsi="Times New Roman" w:cs="Times New Roman"/>
          <w:sz w:val="24"/>
          <w:szCs w:val="24"/>
        </w:rPr>
        <w:t>was</w:t>
      </w:r>
      <w:r w:rsidRPr="003002C1">
        <w:rPr>
          <w:rFonts w:ascii="Times New Roman" w:hAnsi="Times New Roman" w:cs="Times New Roman"/>
          <w:sz w:val="24"/>
          <w:szCs w:val="24"/>
        </w:rPr>
        <w:t xml:space="preserve"> </w:t>
      </w:r>
      <w:r w:rsidR="004653CF">
        <w:rPr>
          <w:rFonts w:ascii="Times New Roman" w:hAnsi="Times New Roman" w:cs="Times New Roman"/>
          <w:sz w:val="24"/>
          <w:szCs w:val="24"/>
        </w:rPr>
        <w:t>four</w:t>
      </w:r>
      <w:r w:rsidRPr="003002C1">
        <w:rPr>
          <w:rFonts w:ascii="Times New Roman" w:hAnsi="Times New Roman" w:cs="Times New Roman"/>
          <w:sz w:val="24"/>
          <w:szCs w:val="24"/>
        </w:rPr>
        <w:t xml:space="preserve">, and most individuals released on pretrial are </w:t>
      </w:r>
      <w:r w:rsidR="004C2B19">
        <w:rPr>
          <w:rFonts w:ascii="Times New Roman" w:hAnsi="Times New Roman" w:cs="Times New Roman"/>
          <w:sz w:val="24"/>
          <w:szCs w:val="24"/>
        </w:rPr>
        <w:t>moderate-risk</w:t>
      </w:r>
      <w:r w:rsidRPr="003002C1">
        <w:rPr>
          <w:rFonts w:ascii="Times New Roman" w:hAnsi="Times New Roman" w:cs="Times New Roman"/>
          <w:sz w:val="24"/>
          <w:szCs w:val="24"/>
        </w:rPr>
        <w:t xml:space="preserve"> level. Most </w:t>
      </w:r>
      <w:r w:rsidR="004C2B19">
        <w:rPr>
          <w:rFonts w:ascii="Times New Roman" w:hAnsi="Times New Roman" w:cs="Times New Roman"/>
          <w:sz w:val="24"/>
          <w:szCs w:val="24"/>
        </w:rPr>
        <w:t>moderate-risk</w:t>
      </w:r>
      <w:r w:rsidRPr="003002C1">
        <w:rPr>
          <w:rFonts w:ascii="Times New Roman" w:hAnsi="Times New Roman" w:cs="Times New Roman"/>
          <w:sz w:val="24"/>
          <w:szCs w:val="24"/>
        </w:rPr>
        <w:t xml:space="preserve"> level individuals are released on pretrial supervision because low scores are more likely to be ORR.</w:t>
      </w:r>
    </w:p>
    <w:p w14:paraId="1FCD2549" w14:textId="63BE7B79"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DD300C">
        <w:rPr>
          <w:rFonts w:ascii="Times New Roman" w:hAnsi="Times New Roman" w:cs="Times New Roman"/>
          <w:b/>
          <w:bCs/>
          <w:sz w:val="24"/>
          <w:szCs w:val="24"/>
        </w:rPr>
        <w:t>17</w:t>
      </w:r>
      <w:r w:rsidR="00CA3863" w:rsidRPr="003002C1">
        <w:rPr>
          <w:rFonts w:ascii="Times New Roman" w:hAnsi="Times New Roman" w:cs="Times New Roman"/>
          <w:b/>
          <w:bCs/>
          <w:sz w:val="24"/>
          <w:szCs w:val="24"/>
        </w:rPr>
        <w:t>: Descriptive Statistics for 2020 data</w:t>
      </w:r>
    </w:p>
    <w:tbl>
      <w:tblPr>
        <w:tblStyle w:val="GridTable1Light"/>
        <w:tblW w:w="0" w:type="auto"/>
        <w:tblLook w:val="04A0" w:firstRow="1" w:lastRow="0" w:firstColumn="1" w:lastColumn="0" w:noHBand="0" w:noVBand="1"/>
      </w:tblPr>
      <w:tblGrid>
        <w:gridCol w:w="2337"/>
        <w:gridCol w:w="2337"/>
        <w:gridCol w:w="2337"/>
        <w:gridCol w:w="2337"/>
      </w:tblGrid>
      <w:tr w:rsidR="00CA3863" w:rsidRPr="003002C1" w14:paraId="7DEB0CA6" w14:textId="77777777" w:rsidTr="00A07A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1C1C1C7E"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Demographics </w:t>
            </w:r>
          </w:p>
        </w:tc>
        <w:tc>
          <w:tcPr>
            <w:tcW w:w="2337" w:type="dxa"/>
          </w:tcPr>
          <w:p w14:paraId="7D7DBF5F" w14:textId="77777777" w:rsidR="00CA3863" w:rsidRPr="003002C1" w:rsidRDefault="00CA3863" w:rsidP="00A07AC4">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5C23A927" w14:textId="77777777" w:rsidR="00CA3863" w:rsidRPr="003002C1" w:rsidRDefault="00CA3863" w:rsidP="00A07AC4">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N (198)</w:t>
            </w:r>
          </w:p>
        </w:tc>
        <w:tc>
          <w:tcPr>
            <w:tcW w:w="2337" w:type="dxa"/>
          </w:tcPr>
          <w:p w14:paraId="5F1D30EE" w14:textId="77777777" w:rsidR="00CA3863" w:rsidRPr="003002C1" w:rsidRDefault="00CA3863" w:rsidP="00A07AC4">
            <w:pPr>
              <w:pStyle w:val="Conten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w:t>
            </w:r>
          </w:p>
        </w:tc>
      </w:tr>
      <w:tr w:rsidR="00CA3863" w:rsidRPr="003002C1" w14:paraId="01C3ACD5"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3D51359D"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Gender </w:t>
            </w:r>
          </w:p>
        </w:tc>
        <w:tc>
          <w:tcPr>
            <w:tcW w:w="2337" w:type="dxa"/>
          </w:tcPr>
          <w:p w14:paraId="6F82A4DE"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01FBDAE1"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36089187"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63" w:rsidRPr="003002C1" w14:paraId="24A83D3D"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ACA281E"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4871DE58"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Male</w:t>
            </w:r>
          </w:p>
        </w:tc>
        <w:tc>
          <w:tcPr>
            <w:tcW w:w="2337" w:type="dxa"/>
          </w:tcPr>
          <w:p w14:paraId="536B9F79"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155</w:t>
            </w:r>
          </w:p>
        </w:tc>
        <w:tc>
          <w:tcPr>
            <w:tcW w:w="2337" w:type="dxa"/>
          </w:tcPr>
          <w:p w14:paraId="62D1C610"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78.28</w:t>
            </w:r>
          </w:p>
        </w:tc>
      </w:tr>
      <w:tr w:rsidR="00CA3863" w:rsidRPr="003002C1" w14:paraId="102D3927"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65421670"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3363B941"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Female</w:t>
            </w:r>
          </w:p>
        </w:tc>
        <w:tc>
          <w:tcPr>
            <w:tcW w:w="2337" w:type="dxa"/>
          </w:tcPr>
          <w:p w14:paraId="13C6C20A"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43</w:t>
            </w:r>
          </w:p>
        </w:tc>
        <w:tc>
          <w:tcPr>
            <w:tcW w:w="2337" w:type="dxa"/>
          </w:tcPr>
          <w:p w14:paraId="4B0EC1CA"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21.72</w:t>
            </w:r>
          </w:p>
        </w:tc>
      </w:tr>
      <w:tr w:rsidR="00CA3863" w:rsidRPr="003002C1" w14:paraId="5ED3DA9C"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31F64DAF"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Race</w:t>
            </w:r>
          </w:p>
        </w:tc>
        <w:tc>
          <w:tcPr>
            <w:tcW w:w="2337" w:type="dxa"/>
          </w:tcPr>
          <w:p w14:paraId="510EF51C"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45DE1866"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37" w:type="dxa"/>
          </w:tcPr>
          <w:p w14:paraId="745AEA1A"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63" w:rsidRPr="003002C1" w14:paraId="31527B8C"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0076738F"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5B3BE31B"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white</w:t>
            </w:r>
          </w:p>
        </w:tc>
        <w:tc>
          <w:tcPr>
            <w:tcW w:w="2337" w:type="dxa"/>
          </w:tcPr>
          <w:p w14:paraId="23845874"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51</w:t>
            </w:r>
          </w:p>
        </w:tc>
        <w:tc>
          <w:tcPr>
            <w:tcW w:w="2337" w:type="dxa"/>
          </w:tcPr>
          <w:p w14:paraId="274230AF"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25.76</w:t>
            </w:r>
          </w:p>
        </w:tc>
      </w:tr>
      <w:tr w:rsidR="00CA3863" w:rsidRPr="003002C1" w14:paraId="295C04F6"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45A78C2"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5DD78E94"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Black</w:t>
            </w:r>
          </w:p>
        </w:tc>
        <w:tc>
          <w:tcPr>
            <w:tcW w:w="2337" w:type="dxa"/>
          </w:tcPr>
          <w:p w14:paraId="3185B762"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80</w:t>
            </w:r>
          </w:p>
        </w:tc>
        <w:tc>
          <w:tcPr>
            <w:tcW w:w="2337" w:type="dxa"/>
          </w:tcPr>
          <w:p w14:paraId="71D8E87D"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40.40</w:t>
            </w:r>
          </w:p>
        </w:tc>
      </w:tr>
      <w:tr w:rsidR="00CA3863" w:rsidRPr="003002C1" w14:paraId="29BA250A"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A372D74"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41D79E0C"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Latine</w:t>
            </w:r>
            <w:r w:rsidRPr="003002C1">
              <w:rPr>
                <w:rStyle w:val="FootnoteReference"/>
                <w:rFonts w:ascii="Times New Roman" w:hAnsi="Times New Roman" w:cs="Times New Roman"/>
                <w:color w:val="auto"/>
                <w:sz w:val="24"/>
                <w:szCs w:val="24"/>
              </w:rPr>
              <w:footnoteReference w:id="12"/>
            </w:r>
          </w:p>
        </w:tc>
        <w:tc>
          <w:tcPr>
            <w:tcW w:w="2337" w:type="dxa"/>
          </w:tcPr>
          <w:p w14:paraId="07D70336"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48</w:t>
            </w:r>
          </w:p>
        </w:tc>
        <w:tc>
          <w:tcPr>
            <w:tcW w:w="2337" w:type="dxa"/>
          </w:tcPr>
          <w:p w14:paraId="5EA2E1B7"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24.24</w:t>
            </w:r>
          </w:p>
        </w:tc>
      </w:tr>
      <w:tr w:rsidR="00CA3863" w:rsidRPr="003002C1" w14:paraId="707EDBD0"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652BB843"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5948D50E"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Asian</w:t>
            </w:r>
            <w:r w:rsidRPr="003002C1">
              <w:rPr>
                <w:rStyle w:val="FootnoteReference"/>
                <w:rFonts w:ascii="Times New Roman" w:hAnsi="Times New Roman" w:cs="Times New Roman"/>
                <w:color w:val="auto"/>
                <w:sz w:val="24"/>
                <w:szCs w:val="24"/>
              </w:rPr>
              <w:footnoteReference w:id="13"/>
            </w:r>
          </w:p>
        </w:tc>
        <w:tc>
          <w:tcPr>
            <w:tcW w:w="2337" w:type="dxa"/>
          </w:tcPr>
          <w:p w14:paraId="5A225772"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17</w:t>
            </w:r>
          </w:p>
        </w:tc>
        <w:tc>
          <w:tcPr>
            <w:tcW w:w="2337" w:type="dxa"/>
          </w:tcPr>
          <w:p w14:paraId="728196B0"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8.59</w:t>
            </w:r>
          </w:p>
        </w:tc>
      </w:tr>
      <w:tr w:rsidR="00CA3863" w:rsidRPr="003002C1" w14:paraId="0D544270"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4DC3C0C2"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69C6B89A"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Native American</w:t>
            </w:r>
          </w:p>
        </w:tc>
        <w:tc>
          <w:tcPr>
            <w:tcW w:w="2337" w:type="dxa"/>
          </w:tcPr>
          <w:p w14:paraId="07A4DBE4"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w:t>
            </w:r>
          </w:p>
        </w:tc>
        <w:tc>
          <w:tcPr>
            <w:tcW w:w="2337" w:type="dxa"/>
          </w:tcPr>
          <w:p w14:paraId="5A947B8A"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0.51</w:t>
            </w:r>
          </w:p>
        </w:tc>
      </w:tr>
      <w:tr w:rsidR="00CA3863" w:rsidRPr="003002C1" w14:paraId="449A85FE" w14:textId="77777777" w:rsidTr="00A07AC4">
        <w:trPr>
          <w:trHeight w:val="239"/>
        </w:trPr>
        <w:tc>
          <w:tcPr>
            <w:cnfStyle w:val="001000000000" w:firstRow="0" w:lastRow="0" w:firstColumn="1" w:lastColumn="0" w:oddVBand="0" w:evenVBand="0" w:oddHBand="0" w:evenHBand="0" w:firstRowFirstColumn="0" w:firstRowLastColumn="0" w:lastRowFirstColumn="0" w:lastRowLastColumn="0"/>
            <w:tcW w:w="2337" w:type="dxa"/>
          </w:tcPr>
          <w:p w14:paraId="74858C57" w14:textId="77777777" w:rsidR="00CA3863" w:rsidRPr="003002C1" w:rsidRDefault="00CA3863" w:rsidP="00A07AC4">
            <w:pPr>
              <w:pStyle w:val="Content"/>
              <w:rPr>
                <w:rFonts w:ascii="Times New Roman" w:hAnsi="Times New Roman" w:cs="Times New Roman"/>
                <w:color w:val="auto"/>
                <w:sz w:val="24"/>
                <w:szCs w:val="24"/>
              </w:rPr>
            </w:pPr>
          </w:p>
        </w:tc>
        <w:tc>
          <w:tcPr>
            <w:tcW w:w="2337" w:type="dxa"/>
          </w:tcPr>
          <w:p w14:paraId="4265D4A6"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Other </w:t>
            </w:r>
          </w:p>
        </w:tc>
        <w:tc>
          <w:tcPr>
            <w:tcW w:w="2337" w:type="dxa"/>
          </w:tcPr>
          <w:p w14:paraId="579BC5A3"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1</w:t>
            </w:r>
          </w:p>
        </w:tc>
        <w:tc>
          <w:tcPr>
            <w:tcW w:w="2337" w:type="dxa"/>
          </w:tcPr>
          <w:p w14:paraId="0DF9D62F" w14:textId="77777777" w:rsidR="00CA3863" w:rsidRPr="003002C1" w:rsidRDefault="00CA3863" w:rsidP="00A07AC4">
            <w:pPr>
              <w:pStyle w:val="Conten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.51</w:t>
            </w:r>
          </w:p>
        </w:tc>
      </w:tr>
    </w:tbl>
    <w:p w14:paraId="77132E99" w14:textId="77777777" w:rsidR="00CA3863" w:rsidRPr="003002C1" w:rsidRDefault="00CA3863" w:rsidP="00CA3863">
      <w:pPr>
        <w:spacing w:after="0"/>
        <w:jc w:val="both"/>
        <w:rPr>
          <w:rFonts w:ascii="Times New Roman" w:hAnsi="Times New Roman" w:cs="Times New Roman"/>
          <w:b/>
          <w:bCs/>
          <w:sz w:val="24"/>
          <w:szCs w:val="24"/>
        </w:rPr>
      </w:pPr>
    </w:p>
    <w:p w14:paraId="35EF8ECE" w14:textId="490B77BE"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DD300C">
        <w:rPr>
          <w:rFonts w:ascii="Times New Roman" w:hAnsi="Times New Roman" w:cs="Times New Roman"/>
          <w:b/>
          <w:bCs/>
          <w:sz w:val="24"/>
          <w:szCs w:val="24"/>
        </w:rPr>
        <w:t>18</w:t>
      </w:r>
      <w:r w:rsidR="00CA3863" w:rsidRPr="003002C1">
        <w:rPr>
          <w:rFonts w:ascii="Times New Roman" w:hAnsi="Times New Roman" w:cs="Times New Roman"/>
          <w:b/>
          <w:bCs/>
          <w:sz w:val="24"/>
          <w:szCs w:val="24"/>
        </w:rPr>
        <w:t xml:space="preserve">: </w:t>
      </w:r>
      <w:r w:rsidR="00DD300C">
        <w:rPr>
          <w:rFonts w:ascii="Times New Roman" w:hAnsi="Times New Roman" w:cs="Times New Roman"/>
          <w:b/>
          <w:bCs/>
          <w:sz w:val="24"/>
          <w:szCs w:val="24"/>
        </w:rPr>
        <w:t>Binary</w:t>
      </w:r>
      <w:r w:rsidR="00CA3863" w:rsidRPr="003002C1">
        <w:rPr>
          <w:rFonts w:ascii="Times New Roman" w:hAnsi="Times New Roman" w:cs="Times New Roman"/>
          <w:b/>
          <w:bCs/>
          <w:sz w:val="24"/>
          <w:szCs w:val="24"/>
        </w:rPr>
        <w:t xml:space="preserve"> Variables </w:t>
      </w:r>
    </w:p>
    <w:tbl>
      <w:tblPr>
        <w:tblStyle w:val="GridTable1Light-Accent1"/>
        <w:tblW w:w="0" w:type="auto"/>
        <w:tblLook w:val="04A0" w:firstRow="1" w:lastRow="0" w:firstColumn="1" w:lastColumn="0" w:noHBand="0" w:noVBand="1"/>
      </w:tblPr>
      <w:tblGrid>
        <w:gridCol w:w="2245"/>
        <w:gridCol w:w="1170"/>
        <w:gridCol w:w="1080"/>
        <w:gridCol w:w="1260"/>
        <w:gridCol w:w="1350"/>
        <w:gridCol w:w="1170"/>
        <w:gridCol w:w="1075"/>
      </w:tblGrid>
      <w:tr w:rsidR="00CA3863" w:rsidRPr="003002C1" w14:paraId="794D731B" w14:textId="77777777" w:rsidTr="00A0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2464BFA"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Variable </w:t>
            </w:r>
          </w:p>
        </w:tc>
        <w:tc>
          <w:tcPr>
            <w:tcW w:w="1170" w:type="dxa"/>
          </w:tcPr>
          <w:p w14:paraId="1DDD992D"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Obs. </w:t>
            </w:r>
          </w:p>
        </w:tc>
        <w:tc>
          <w:tcPr>
            <w:tcW w:w="1080" w:type="dxa"/>
          </w:tcPr>
          <w:p w14:paraId="594A27A4"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No</w:t>
            </w:r>
          </w:p>
        </w:tc>
        <w:tc>
          <w:tcPr>
            <w:tcW w:w="1260" w:type="dxa"/>
          </w:tcPr>
          <w:p w14:paraId="0CDFA5AF"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Yes</w:t>
            </w:r>
          </w:p>
        </w:tc>
        <w:tc>
          <w:tcPr>
            <w:tcW w:w="1350" w:type="dxa"/>
          </w:tcPr>
          <w:p w14:paraId="7AE3DBA6"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Mean</w:t>
            </w:r>
          </w:p>
        </w:tc>
        <w:tc>
          <w:tcPr>
            <w:tcW w:w="1170" w:type="dxa"/>
          </w:tcPr>
          <w:p w14:paraId="126E6E89"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Min</w:t>
            </w:r>
          </w:p>
        </w:tc>
        <w:tc>
          <w:tcPr>
            <w:tcW w:w="1075" w:type="dxa"/>
          </w:tcPr>
          <w:p w14:paraId="319341BB"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Max </w:t>
            </w:r>
          </w:p>
        </w:tc>
      </w:tr>
      <w:tr w:rsidR="00CA3863" w:rsidRPr="003002C1" w14:paraId="04B514F8"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2B45BA49"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FTA </w:t>
            </w:r>
          </w:p>
        </w:tc>
        <w:tc>
          <w:tcPr>
            <w:tcW w:w="1170" w:type="dxa"/>
          </w:tcPr>
          <w:p w14:paraId="2D085684"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198</w:t>
            </w:r>
          </w:p>
        </w:tc>
        <w:tc>
          <w:tcPr>
            <w:tcW w:w="1080" w:type="dxa"/>
          </w:tcPr>
          <w:p w14:paraId="33EBD12F"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163</w:t>
            </w:r>
          </w:p>
        </w:tc>
        <w:tc>
          <w:tcPr>
            <w:tcW w:w="1260" w:type="dxa"/>
          </w:tcPr>
          <w:p w14:paraId="78C4B9A2"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35</w:t>
            </w:r>
          </w:p>
        </w:tc>
        <w:tc>
          <w:tcPr>
            <w:tcW w:w="1350" w:type="dxa"/>
          </w:tcPr>
          <w:p w14:paraId="2E127995"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.1768</w:t>
            </w:r>
          </w:p>
        </w:tc>
        <w:tc>
          <w:tcPr>
            <w:tcW w:w="1170" w:type="dxa"/>
          </w:tcPr>
          <w:p w14:paraId="15CF1B2E"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45526337"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r w:rsidR="00CA3863" w:rsidRPr="003002C1" w14:paraId="0E7A321F"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31F2155B"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New Arrest </w:t>
            </w:r>
          </w:p>
        </w:tc>
        <w:tc>
          <w:tcPr>
            <w:tcW w:w="1170" w:type="dxa"/>
          </w:tcPr>
          <w:p w14:paraId="2F2A24CB"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198</w:t>
            </w:r>
          </w:p>
        </w:tc>
        <w:tc>
          <w:tcPr>
            <w:tcW w:w="1080" w:type="dxa"/>
          </w:tcPr>
          <w:p w14:paraId="7ED24653"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186</w:t>
            </w:r>
          </w:p>
        </w:tc>
        <w:tc>
          <w:tcPr>
            <w:tcW w:w="1260" w:type="dxa"/>
          </w:tcPr>
          <w:p w14:paraId="63E0E266"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12</w:t>
            </w:r>
          </w:p>
        </w:tc>
        <w:tc>
          <w:tcPr>
            <w:tcW w:w="1350" w:type="dxa"/>
          </w:tcPr>
          <w:p w14:paraId="455A53D2"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.0606</w:t>
            </w:r>
          </w:p>
        </w:tc>
        <w:tc>
          <w:tcPr>
            <w:tcW w:w="1170" w:type="dxa"/>
          </w:tcPr>
          <w:p w14:paraId="354E874A"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20A90038"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r w:rsidR="00CA3863" w:rsidRPr="003002C1" w14:paraId="08840344"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00E19792"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Total Revoked </w:t>
            </w:r>
          </w:p>
        </w:tc>
        <w:tc>
          <w:tcPr>
            <w:tcW w:w="1170" w:type="dxa"/>
          </w:tcPr>
          <w:p w14:paraId="69807A61"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198</w:t>
            </w:r>
          </w:p>
        </w:tc>
        <w:tc>
          <w:tcPr>
            <w:tcW w:w="1080" w:type="dxa"/>
          </w:tcPr>
          <w:p w14:paraId="00E3B9E1"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145</w:t>
            </w:r>
          </w:p>
        </w:tc>
        <w:tc>
          <w:tcPr>
            <w:tcW w:w="1260" w:type="dxa"/>
          </w:tcPr>
          <w:p w14:paraId="3B5E9520"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53</w:t>
            </w:r>
          </w:p>
        </w:tc>
        <w:tc>
          <w:tcPr>
            <w:tcW w:w="1350" w:type="dxa"/>
          </w:tcPr>
          <w:p w14:paraId="368BC2CB"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.2676</w:t>
            </w:r>
          </w:p>
        </w:tc>
        <w:tc>
          <w:tcPr>
            <w:tcW w:w="1170" w:type="dxa"/>
          </w:tcPr>
          <w:p w14:paraId="2ABCC6B4"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271FC2E1"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w:t>
            </w:r>
          </w:p>
        </w:tc>
      </w:tr>
    </w:tbl>
    <w:p w14:paraId="4B7DECCB" w14:textId="77777777" w:rsidR="00CA3863" w:rsidRPr="003002C1" w:rsidRDefault="00CA3863" w:rsidP="00CA3863">
      <w:pPr>
        <w:spacing w:after="0"/>
        <w:jc w:val="both"/>
        <w:rPr>
          <w:rFonts w:ascii="Times New Roman" w:hAnsi="Times New Roman" w:cs="Times New Roman"/>
          <w:sz w:val="24"/>
          <w:szCs w:val="24"/>
        </w:rPr>
      </w:pPr>
    </w:p>
    <w:p w14:paraId="38F1FE37" w14:textId="33C279C5"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1</w:t>
      </w:r>
      <w:r w:rsidR="00DD300C">
        <w:rPr>
          <w:rFonts w:ascii="Times New Roman" w:hAnsi="Times New Roman" w:cs="Times New Roman"/>
          <w:b/>
          <w:bCs/>
          <w:sz w:val="24"/>
          <w:szCs w:val="24"/>
        </w:rPr>
        <w:t>9</w:t>
      </w:r>
      <w:r w:rsidR="00CA3863" w:rsidRPr="003002C1">
        <w:rPr>
          <w:rFonts w:ascii="Times New Roman" w:hAnsi="Times New Roman" w:cs="Times New Roman"/>
          <w:b/>
          <w:bCs/>
          <w:sz w:val="24"/>
          <w:szCs w:val="24"/>
        </w:rPr>
        <w:t xml:space="preserve">: Continuous variables </w:t>
      </w:r>
    </w:p>
    <w:tbl>
      <w:tblPr>
        <w:tblStyle w:val="GridTable1Light-Accent1"/>
        <w:tblW w:w="0" w:type="auto"/>
        <w:tblLook w:val="04A0" w:firstRow="1" w:lastRow="0" w:firstColumn="1" w:lastColumn="0" w:noHBand="0" w:noVBand="1"/>
      </w:tblPr>
      <w:tblGrid>
        <w:gridCol w:w="2245"/>
        <w:gridCol w:w="1170"/>
        <w:gridCol w:w="1080"/>
        <w:gridCol w:w="1350"/>
        <w:gridCol w:w="1170"/>
        <w:gridCol w:w="1075"/>
      </w:tblGrid>
      <w:tr w:rsidR="00CA3863" w:rsidRPr="003002C1" w14:paraId="56D2835F" w14:textId="77777777" w:rsidTr="00A0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6B24EFC"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Variable </w:t>
            </w:r>
          </w:p>
        </w:tc>
        <w:tc>
          <w:tcPr>
            <w:tcW w:w="1170" w:type="dxa"/>
          </w:tcPr>
          <w:p w14:paraId="718CEC91"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Obs. </w:t>
            </w:r>
          </w:p>
        </w:tc>
        <w:tc>
          <w:tcPr>
            <w:tcW w:w="1080" w:type="dxa"/>
          </w:tcPr>
          <w:p w14:paraId="465C5A68"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Mean </w:t>
            </w:r>
          </w:p>
        </w:tc>
        <w:tc>
          <w:tcPr>
            <w:tcW w:w="1350" w:type="dxa"/>
          </w:tcPr>
          <w:p w14:paraId="600518A1"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Std</w:t>
            </w:r>
          </w:p>
        </w:tc>
        <w:tc>
          <w:tcPr>
            <w:tcW w:w="1170" w:type="dxa"/>
          </w:tcPr>
          <w:p w14:paraId="3E8EB1F4"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Min</w:t>
            </w:r>
          </w:p>
        </w:tc>
        <w:tc>
          <w:tcPr>
            <w:tcW w:w="1075" w:type="dxa"/>
          </w:tcPr>
          <w:p w14:paraId="034DB2D7" w14:textId="77777777" w:rsidR="00CA3863" w:rsidRPr="003002C1" w:rsidRDefault="00CA3863" w:rsidP="00A07AC4">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Max </w:t>
            </w:r>
          </w:p>
        </w:tc>
      </w:tr>
      <w:tr w:rsidR="00CA3863" w:rsidRPr="003002C1" w14:paraId="2FA08598" w14:textId="77777777" w:rsidTr="00A07AC4">
        <w:tc>
          <w:tcPr>
            <w:cnfStyle w:val="001000000000" w:firstRow="0" w:lastRow="0" w:firstColumn="1" w:lastColumn="0" w:oddVBand="0" w:evenVBand="0" w:oddHBand="0" w:evenHBand="0" w:firstRowFirstColumn="0" w:firstRowLastColumn="0" w:lastRowFirstColumn="0" w:lastRowLastColumn="0"/>
            <w:tcW w:w="2245" w:type="dxa"/>
          </w:tcPr>
          <w:p w14:paraId="6506C63A" w14:textId="77777777" w:rsidR="00CA3863" w:rsidRPr="003002C1" w:rsidRDefault="00CA3863" w:rsidP="00A07AC4">
            <w:pPr>
              <w:pStyle w:val="ListParagraph"/>
              <w:ind w:left="0"/>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Risk  </w:t>
            </w:r>
          </w:p>
        </w:tc>
        <w:tc>
          <w:tcPr>
            <w:tcW w:w="1170" w:type="dxa"/>
          </w:tcPr>
          <w:p w14:paraId="4FEF936F"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198</w:t>
            </w:r>
          </w:p>
        </w:tc>
        <w:tc>
          <w:tcPr>
            <w:tcW w:w="1080" w:type="dxa"/>
          </w:tcPr>
          <w:p w14:paraId="34F7E689"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4.1515</w:t>
            </w:r>
          </w:p>
        </w:tc>
        <w:tc>
          <w:tcPr>
            <w:tcW w:w="1350" w:type="dxa"/>
          </w:tcPr>
          <w:p w14:paraId="2553EE1D"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1.7875</w:t>
            </w:r>
          </w:p>
        </w:tc>
        <w:tc>
          <w:tcPr>
            <w:tcW w:w="1170" w:type="dxa"/>
          </w:tcPr>
          <w:p w14:paraId="1FE287EF"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0</w:t>
            </w:r>
          </w:p>
        </w:tc>
        <w:tc>
          <w:tcPr>
            <w:tcW w:w="1075" w:type="dxa"/>
          </w:tcPr>
          <w:p w14:paraId="5085948B" w14:textId="77777777" w:rsidR="00CA3863" w:rsidRPr="003002C1" w:rsidRDefault="00CA3863" w:rsidP="00A07AC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9</w:t>
            </w:r>
          </w:p>
        </w:tc>
      </w:tr>
    </w:tbl>
    <w:p w14:paraId="32212B64" w14:textId="77777777" w:rsidR="00CA3863" w:rsidRPr="003002C1" w:rsidRDefault="00CA3863" w:rsidP="00CA3863">
      <w:pPr>
        <w:spacing w:after="0"/>
        <w:jc w:val="both"/>
        <w:rPr>
          <w:rFonts w:ascii="Times New Roman" w:hAnsi="Times New Roman" w:cs="Times New Roman"/>
          <w:sz w:val="24"/>
          <w:szCs w:val="24"/>
        </w:rPr>
      </w:pPr>
    </w:p>
    <w:p w14:paraId="3D8A76BE" w14:textId="415BEE8F" w:rsidR="00CA3863" w:rsidRPr="003002C1" w:rsidRDefault="00E65A98" w:rsidP="00CA3863">
      <w:pPr>
        <w:spacing w:after="0"/>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DD300C">
        <w:rPr>
          <w:rFonts w:ascii="Times New Roman" w:hAnsi="Times New Roman" w:cs="Times New Roman"/>
          <w:b/>
          <w:bCs/>
          <w:sz w:val="24"/>
          <w:szCs w:val="24"/>
        </w:rPr>
        <w:t>20</w:t>
      </w:r>
      <w:r w:rsidR="00CA3863" w:rsidRPr="003002C1">
        <w:rPr>
          <w:rFonts w:ascii="Times New Roman" w:hAnsi="Times New Roman" w:cs="Times New Roman"/>
          <w:b/>
          <w:bCs/>
          <w:sz w:val="24"/>
          <w:szCs w:val="24"/>
        </w:rPr>
        <w:t>: Categorical Variables</w:t>
      </w:r>
    </w:p>
    <w:tbl>
      <w:tblPr>
        <w:tblStyle w:val="GridTable1Light"/>
        <w:tblW w:w="0" w:type="auto"/>
        <w:tblLook w:val="04A0" w:firstRow="1" w:lastRow="0" w:firstColumn="1" w:lastColumn="0" w:noHBand="0" w:noVBand="1"/>
      </w:tblPr>
      <w:tblGrid>
        <w:gridCol w:w="2337"/>
        <w:gridCol w:w="2337"/>
      </w:tblGrid>
      <w:tr w:rsidR="00CA3863" w:rsidRPr="003002C1" w14:paraId="111EB1B4" w14:textId="77777777" w:rsidTr="00A07AC4">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14:paraId="03FA2195"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Variable: Risk Level </w:t>
            </w:r>
          </w:p>
        </w:tc>
        <w:tc>
          <w:tcPr>
            <w:tcW w:w="2337" w:type="dxa"/>
          </w:tcPr>
          <w:p w14:paraId="2DE6FA57" w14:textId="77777777" w:rsidR="00CA3863" w:rsidRPr="003002C1" w:rsidRDefault="00CA3863" w:rsidP="00A07AC4">
            <w:pPr>
              <w:pStyle w:val="Conten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Obs. </w:t>
            </w:r>
          </w:p>
        </w:tc>
      </w:tr>
      <w:tr w:rsidR="00CA3863" w:rsidRPr="003002C1" w14:paraId="69962CB0" w14:textId="77777777" w:rsidTr="00A07AC4">
        <w:trPr>
          <w:trHeight w:val="266"/>
        </w:trPr>
        <w:tc>
          <w:tcPr>
            <w:cnfStyle w:val="001000000000" w:firstRow="0" w:lastRow="0" w:firstColumn="1" w:lastColumn="0" w:oddVBand="0" w:evenVBand="0" w:oddHBand="0" w:evenHBand="0" w:firstRowFirstColumn="0" w:firstRowLastColumn="0" w:lastRowFirstColumn="0" w:lastRowLastColumn="0"/>
            <w:tcW w:w="2337" w:type="dxa"/>
          </w:tcPr>
          <w:p w14:paraId="6193EE8D"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Low </w:t>
            </w:r>
          </w:p>
        </w:tc>
        <w:tc>
          <w:tcPr>
            <w:tcW w:w="2337" w:type="dxa"/>
          </w:tcPr>
          <w:p w14:paraId="03337EDA"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31</w:t>
            </w:r>
          </w:p>
        </w:tc>
      </w:tr>
      <w:tr w:rsidR="00CA3863" w:rsidRPr="003002C1" w14:paraId="60DE50F3"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13D3E52"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 Moderate</w:t>
            </w:r>
          </w:p>
        </w:tc>
        <w:tc>
          <w:tcPr>
            <w:tcW w:w="2337" w:type="dxa"/>
          </w:tcPr>
          <w:p w14:paraId="658CAD39"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129 </w:t>
            </w:r>
          </w:p>
        </w:tc>
      </w:tr>
      <w:tr w:rsidR="00CA3863" w:rsidRPr="003002C1" w14:paraId="7B32F3D9" w14:textId="77777777" w:rsidTr="00A07AC4">
        <w:trPr>
          <w:trHeight w:val="252"/>
        </w:trPr>
        <w:tc>
          <w:tcPr>
            <w:cnfStyle w:val="001000000000" w:firstRow="0" w:lastRow="0" w:firstColumn="1" w:lastColumn="0" w:oddVBand="0" w:evenVBand="0" w:oddHBand="0" w:evenHBand="0" w:firstRowFirstColumn="0" w:firstRowLastColumn="0" w:lastRowFirstColumn="0" w:lastRowLastColumn="0"/>
            <w:tcW w:w="2337" w:type="dxa"/>
          </w:tcPr>
          <w:p w14:paraId="4BD47409" w14:textId="77777777" w:rsidR="00CA3863" w:rsidRPr="003002C1" w:rsidRDefault="00CA3863" w:rsidP="00A07AC4">
            <w:pPr>
              <w:pStyle w:val="Content"/>
              <w:rPr>
                <w:rFonts w:ascii="Times New Roman" w:hAnsi="Times New Roman" w:cs="Times New Roman"/>
                <w:color w:val="auto"/>
                <w:sz w:val="24"/>
                <w:szCs w:val="24"/>
              </w:rPr>
            </w:pPr>
            <w:r w:rsidRPr="003002C1">
              <w:rPr>
                <w:rFonts w:ascii="Times New Roman" w:hAnsi="Times New Roman" w:cs="Times New Roman"/>
                <w:color w:val="auto"/>
                <w:sz w:val="24"/>
                <w:szCs w:val="24"/>
              </w:rPr>
              <w:t xml:space="preserve">High </w:t>
            </w:r>
          </w:p>
        </w:tc>
        <w:tc>
          <w:tcPr>
            <w:tcW w:w="2337" w:type="dxa"/>
          </w:tcPr>
          <w:p w14:paraId="30745D7B" w14:textId="77777777" w:rsidR="00CA3863" w:rsidRPr="003002C1" w:rsidRDefault="00CA3863" w:rsidP="00A07AC4">
            <w:pPr>
              <w:pStyle w:val="Conten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002C1">
              <w:rPr>
                <w:rFonts w:ascii="Times New Roman" w:hAnsi="Times New Roman" w:cs="Times New Roman"/>
                <w:color w:val="auto"/>
                <w:sz w:val="24"/>
                <w:szCs w:val="24"/>
              </w:rPr>
              <w:t>38</w:t>
            </w:r>
          </w:p>
        </w:tc>
      </w:tr>
    </w:tbl>
    <w:p w14:paraId="6CC1C690" w14:textId="77777777" w:rsidR="00CA3863" w:rsidRPr="003002C1" w:rsidRDefault="00CA3863" w:rsidP="00CA3863">
      <w:pPr>
        <w:spacing w:after="0"/>
        <w:jc w:val="both"/>
        <w:rPr>
          <w:rFonts w:ascii="Times New Roman" w:hAnsi="Times New Roman" w:cs="Times New Roman"/>
          <w:sz w:val="24"/>
          <w:szCs w:val="24"/>
        </w:rPr>
      </w:pPr>
    </w:p>
    <w:p w14:paraId="60EB7088" w14:textId="77777777" w:rsidR="00CA3863" w:rsidRPr="003002C1" w:rsidRDefault="00CA3863" w:rsidP="00CA3863">
      <w:pPr>
        <w:spacing w:after="0"/>
        <w:jc w:val="both"/>
        <w:rPr>
          <w:rFonts w:ascii="Times New Roman" w:hAnsi="Times New Roman" w:cs="Times New Roman"/>
          <w:b/>
          <w:bCs/>
          <w:sz w:val="24"/>
          <w:szCs w:val="24"/>
        </w:rPr>
      </w:pPr>
      <w:r w:rsidRPr="003002C1">
        <w:rPr>
          <w:rFonts w:ascii="Times New Roman" w:hAnsi="Times New Roman" w:cs="Times New Roman"/>
          <w:b/>
          <w:bCs/>
          <w:sz w:val="24"/>
          <w:szCs w:val="24"/>
        </w:rPr>
        <w:t>Research question:</w:t>
      </w:r>
    </w:p>
    <w:p w14:paraId="4348F2BD" w14:textId="15203CBA" w:rsidR="00CA3863" w:rsidRPr="003002C1" w:rsidRDefault="00CA3863" w:rsidP="00CA3863">
      <w:pPr>
        <w:pStyle w:val="ListParagraph"/>
        <w:spacing w:after="0"/>
        <w:ind w:left="0"/>
        <w:jc w:val="both"/>
        <w:rPr>
          <w:rFonts w:ascii="Times New Roman" w:hAnsi="Times New Roman" w:cs="Times New Roman"/>
          <w:sz w:val="24"/>
          <w:szCs w:val="24"/>
        </w:rPr>
      </w:pPr>
      <w:r w:rsidRPr="003002C1">
        <w:rPr>
          <w:rFonts w:ascii="Times New Roman" w:hAnsi="Times New Roman" w:cs="Times New Roman"/>
          <w:sz w:val="24"/>
          <w:szCs w:val="24"/>
        </w:rPr>
        <w:t xml:space="preserve">How successful </w:t>
      </w:r>
      <w:r w:rsidR="00400EF4">
        <w:rPr>
          <w:rFonts w:ascii="Times New Roman" w:hAnsi="Times New Roman" w:cs="Times New Roman"/>
          <w:sz w:val="24"/>
          <w:szCs w:val="24"/>
        </w:rPr>
        <w:t xml:space="preserve">was the </w:t>
      </w:r>
      <w:r w:rsidRPr="003002C1">
        <w:rPr>
          <w:rFonts w:ascii="Times New Roman" w:hAnsi="Times New Roman" w:cs="Times New Roman"/>
          <w:sz w:val="24"/>
          <w:szCs w:val="24"/>
        </w:rPr>
        <w:t>total ORAS-PAT assessment score at predicting the likelihood of FTA among the Solano pretrial population</w:t>
      </w:r>
      <w:r>
        <w:rPr>
          <w:rFonts w:ascii="Times New Roman" w:hAnsi="Times New Roman" w:cs="Times New Roman"/>
          <w:sz w:val="24"/>
          <w:szCs w:val="24"/>
        </w:rPr>
        <w:t>?</w:t>
      </w:r>
    </w:p>
    <w:p w14:paraId="609514A0" w14:textId="77777777" w:rsidR="00CA3863" w:rsidRPr="003002C1" w:rsidRDefault="00CA3863" w:rsidP="00CA3863">
      <w:pPr>
        <w:pStyle w:val="ListParagraph"/>
        <w:spacing w:after="0"/>
        <w:ind w:left="0"/>
        <w:jc w:val="both"/>
        <w:rPr>
          <w:rFonts w:ascii="Times New Roman" w:hAnsi="Times New Roman" w:cs="Times New Roman"/>
          <w:sz w:val="24"/>
          <w:szCs w:val="24"/>
        </w:rPr>
      </w:pPr>
    </w:p>
    <w:p w14:paraId="52452167" w14:textId="1EB35A3F" w:rsidR="00CA3863" w:rsidRPr="003002C1" w:rsidRDefault="00CA3863" w:rsidP="00CA3863">
      <w:pPr>
        <w:spacing w:after="0"/>
        <w:jc w:val="both"/>
        <w:rPr>
          <w:rFonts w:ascii="Times New Roman" w:hAnsi="Times New Roman" w:cs="Times New Roman"/>
          <w:b/>
          <w:bCs/>
          <w:sz w:val="24"/>
          <w:szCs w:val="24"/>
        </w:rPr>
      </w:pPr>
      <w:r w:rsidRPr="003002C1">
        <w:rPr>
          <w:rFonts w:ascii="Times New Roman" w:hAnsi="Times New Roman" w:cs="Times New Roman"/>
          <w:i/>
          <w:iCs/>
          <w:noProof/>
          <w:sz w:val="24"/>
          <w:szCs w:val="24"/>
        </w:rPr>
        <w:drawing>
          <wp:anchor distT="0" distB="0" distL="114300" distR="114300" simplePos="0" relativeHeight="251674624" behindDoc="0" locked="0" layoutInCell="1" allowOverlap="1" wp14:anchorId="709CC14A" wp14:editId="48B032F6">
            <wp:simplePos x="0" y="0"/>
            <wp:positionH relativeFrom="margin">
              <wp:align>left</wp:align>
            </wp:positionH>
            <wp:positionV relativeFrom="paragraph">
              <wp:posOffset>290195</wp:posOffset>
            </wp:positionV>
            <wp:extent cx="5745480" cy="2368550"/>
            <wp:effectExtent l="0" t="0" r="7620" b="1270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E42FAB">
        <w:rPr>
          <w:rFonts w:ascii="Times New Roman" w:hAnsi="Times New Roman" w:cs="Times New Roman"/>
          <w:b/>
          <w:bCs/>
          <w:sz w:val="24"/>
          <w:szCs w:val="24"/>
        </w:rPr>
        <w:t>Figure</w:t>
      </w:r>
      <w:r w:rsidRPr="003002C1">
        <w:rPr>
          <w:rFonts w:ascii="Times New Roman" w:hAnsi="Times New Roman" w:cs="Times New Roman"/>
          <w:b/>
          <w:bCs/>
          <w:sz w:val="24"/>
          <w:szCs w:val="24"/>
        </w:rPr>
        <w:t xml:space="preserve"> </w:t>
      </w:r>
      <w:r w:rsidR="006E3313">
        <w:rPr>
          <w:rFonts w:ascii="Times New Roman" w:hAnsi="Times New Roman" w:cs="Times New Roman"/>
          <w:b/>
          <w:bCs/>
          <w:sz w:val="24"/>
          <w:szCs w:val="24"/>
        </w:rPr>
        <w:t>13</w:t>
      </w:r>
      <w:r w:rsidRPr="003002C1">
        <w:rPr>
          <w:rFonts w:ascii="Times New Roman" w:hAnsi="Times New Roman" w:cs="Times New Roman"/>
          <w:b/>
          <w:bCs/>
          <w:sz w:val="24"/>
          <w:szCs w:val="24"/>
        </w:rPr>
        <w:t xml:space="preserve">: FTA by risk score </w:t>
      </w:r>
    </w:p>
    <w:p w14:paraId="411F601C" w14:textId="77777777" w:rsidR="00CA3863" w:rsidRPr="003002C1" w:rsidRDefault="00CA3863" w:rsidP="00CA3863">
      <w:pPr>
        <w:pStyle w:val="TipText"/>
        <w:jc w:val="center"/>
        <w:rPr>
          <w:rFonts w:ascii="Times New Roman" w:hAnsi="Times New Roman" w:cs="Times New Roman"/>
          <w:i w:val="0"/>
          <w:iCs w:val="0"/>
          <w:color w:val="auto"/>
          <w:sz w:val="24"/>
          <w:szCs w:val="24"/>
        </w:rPr>
      </w:pPr>
      <w:r w:rsidRPr="003002C1">
        <w:rPr>
          <w:rFonts w:ascii="Times New Roman" w:hAnsi="Times New Roman" w:cs="Times New Roman"/>
          <w:color w:val="auto"/>
          <w:sz w:val="24"/>
          <w:szCs w:val="24"/>
          <w:shd w:val="clear" w:color="auto" w:fill="FFFFFF"/>
        </w:rPr>
        <w:t>χ2</w:t>
      </w:r>
      <w:r w:rsidRPr="003002C1">
        <w:rPr>
          <w:rFonts w:ascii="Times New Roman" w:hAnsi="Times New Roman" w:cs="Times New Roman"/>
          <w:i w:val="0"/>
          <w:iCs w:val="0"/>
          <w:color w:val="auto"/>
          <w:sz w:val="24"/>
          <w:szCs w:val="24"/>
        </w:rPr>
        <w:t xml:space="preserve"> (</w:t>
      </w:r>
      <w:proofErr w:type="gramStart"/>
      <w:r w:rsidRPr="003002C1">
        <w:rPr>
          <w:rFonts w:ascii="Times New Roman" w:hAnsi="Times New Roman" w:cs="Times New Roman"/>
          <w:i w:val="0"/>
          <w:iCs w:val="0"/>
          <w:color w:val="auto"/>
          <w:sz w:val="24"/>
          <w:szCs w:val="24"/>
        </w:rPr>
        <w:t>9)=</w:t>
      </w:r>
      <w:proofErr w:type="gramEnd"/>
      <w:r w:rsidRPr="003002C1">
        <w:rPr>
          <w:rFonts w:ascii="Times New Roman" w:hAnsi="Times New Roman" w:cs="Times New Roman"/>
          <w:i w:val="0"/>
          <w:iCs w:val="0"/>
          <w:color w:val="auto"/>
          <w:sz w:val="24"/>
          <w:szCs w:val="24"/>
        </w:rPr>
        <w:t xml:space="preserve"> 13.178 (p&gt;.01)  Gamma=.3445</w:t>
      </w:r>
    </w:p>
    <w:p w14:paraId="6BB6D707" w14:textId="77777777" w:rsidR="00CA3863" w:rsidRPr="003002C1" w:rsidRDefault="00CA3863" w:rsidP="00CA3863">
      <w:pPr>
        <w:jc w:val="both"/>
        <w:rPr>
          <w:rFonts w:ascii="Times New Roman" w:hAnsi="Times New Roman" w:cs="Times New Roman"/>
          <w:sz w:val="24"/>
          <w:szCs w:val="24"/>
        </w:rPr>
      </w:pPr>
    </w:p>
    <w:p w14:paraId="606424F9" w14:textId="3F8F815A" w:rsidR="00CA3863" w:rsidRPr="003002C1" w:rsidRDefault="00E42FAB" w:rsidP="00CA3863">
      <w:pPr>
        <w:jc w:val="both"/>
        <w:rPr>
          <w:rFonts w:ascii="Times New Roman" w:hAnsi="Times New Roman" w:cs="Times New Roman"/>
          <w:sz w:val="24"/>
          <w:szCs w:val="24"/>
        </w:rPr>
      </w:pPr>
      <w:r>
        <w:rPr>
          <w:rFonts w:ascii="Times New Roman" w:hAnsi="Times New Roman" w:cs="Times New Roman"/>
          <w:sz w:val="24"/>
          <w:szCs w:val="24"/>
        </w:rPr>
        <w:t>Figure</w:t>
      </w:r>
      <w:r w:rsidR="00CA3863" w:rsidRPr="003002C1">
        <w:rPr>
          <w:rFonts w:ascii="Times New Roman" w:hAnsi="Times New Roman" w:cs="Times New Roman"/>
          <w:sz w:val="24"/>
          <w:szCs w:val="24"/>
        </w:rPr>
        <w:t xml:space="preserve"> </w:t>
      </w:r>
      <w:r w:rsidR="006E3313">
        <w:rPr>
          <w:rFonts w:ascii="Times New Roman" w:hAnsi="Times New Roman" w:cs="Times New Roman"/>
          <w:sz w:val="24"/>
          <w:szCs w:val="24"/>
        </w:rPr>
        <w:t>13</w:t>
      </w:r>
      <w:r w:rsidR="00CA3863" w:rsidRPr="003002C1">
        <w:rPr>
          <w:rFonts w:ascii="Times New Roman" w:hAnsi="Times New Roman" w:cs="Times New Roman"/>
          <w:sz w:val="24"/>
          <w:szCs w:val="24"/>
        </w:rPr>
        <w:t xml:space="preserve"> (n=198) depicts those that as the ORAS-PAT risk score increases, the FTA rate is not consistent with the increase. The p-value (p =0.155) indicates that the relationship between</w:t>
      </w:r>
      <w:r w:rsidR="007B7F73">
        <w:rPr>
          <w:rFonts w:ascii="Times New Roman" w:hAnsi="Times New Roman" w:cs="Times New Roman"/>
          <w:sz w:val="24"/>
          <w:szCs w:val="24"/>
        </w:rPr>
        <w:t xml:space="preserve"> the</w:t>
      </w:r>
      <w:r w:rsidR="00CA3863" w:rsidRPr="003002C1">
        <w:rPr>
          <w:rFonts w:ascii="Times New Roman" w:hAnsi="Times New Roman" w:cs="Times New Roman"/>
          <w:sz w:val="24"/>
          <w:szCs w:val="24"/>
        </w:rPr>
        <w:t xml:space="preserve"> ORAS-PAT risk scores and FTA is not statistically significant. The graph demonstrates that those who scored higher marginally increase in FTA; there is an exception for those who scored 3-4 and 6 -7. To be more specific, those who scored a risk score of </w:t>
      </w:r>
      <w:r w:rsidR="007B7F73">
        <w:rPr>
          <w:rFonts w:ascii="Times New Roman" w:hAnsi="Times New Roman" w:cs="Times New Roman"/>
          <w:sz w:val="24"/>
          <w:szCs w:val="24"/>
        </w:rPr>
        <w:t>three</w:t>
      </w:r>
      <w:r w:rsidR="00CA3863" w:rsidRPr="003002C1">
        <w:rPr>
          <w:rFonts w:ascii="Times New Roman" w:hAnsi="Times New Roman" w:cs="Times New Roman"/>
          <w:sz w:val="24"/>
          <w:szCs w:val="24"/>
        </w:rPr>
        <w:t xml:space="preserve"> and </w:t>
      </w:r>
      <w:r w:rsidR="007B7F73">
        <w:rPr>
          <w:rFonts w:ascii="Times New Roman" w:hAnsi="Times New Roman" w:cs="Times New Roman"/>
          <w:sz w:val="24"/>
          <w:szCs w:val="24"/>
        </w:rPr>
        <w:t>four</w:t>
      </w:r>
      <w:r w:rsidR="00CA3863" w:rsidRPr="003002C1">
        <w:rPr>
          <w:rFonts w:ascii="Times New Roman" w:hAnsi="Times New Roman" w:cs="Times New Roman"/>
          <w:sz w:val="24"/>
          <w:szCs w:val="24"/>
        </w:rPr>
        <w:t xml:space="preserve"> ha</w:t>
      </w:r>
      <w:r w:rsidR="007B7F73">
        <w:rPr>
          <w:rFonts w:ascii="Times New Roman" w:hAnsi="Times New Roman" w:cs="Times New Roman"/>
          <w:sz w:val="24"/>
          <w:szCs w:val="24"/>
        </w:rPr>
        <w:t>d</w:t>
      </w:r>
      <w:r w:rsidR="00CA3863" w:rsidRPr="003002C1">
        <w:rPr>
          <w:rFonts w:ascii="Times New Roman" w:hAnsi="Times New Roman" w:cs="Times New Roman"/>
          <w:sz w:val="24"/>
          <w:szCs w:val="24"/>
        </w:rPr>
        <w:t xml:space="preserve"> an FTA rate of 10%, those with a score of </w:t>
      </w:r>
      <w:r w:rsidR="007B7F73">
        <w:rPr>
          <w:rFonts w:ascii="Times New Roman" w:hAnsi="Times New Roman" w:cs="Times New Roman"/>
          <w:sz w:val="24"/>
          <w:szCs w:val="24"/>
        </w:rPr>
        <w:t>five</w:t>
      </w:r>
      <w:r w:rsidR="00CA3863" w:rsidRPr="003002C1">
        <w:rPr>
          <w:rFonts w:ascii="Times New Roman" w:hAnsi="Times New Roman" w:cs="Times New Roman"/>
          <w:sz w:val="24"/>
          <w:szCs w:val="24"/>
        </w:rPr>
        <w:t xml:space="preserve"> ha</w:t>
      </w:r>
      <w:r w:rsidR="007B7F73">
        <w:rPr>
          <w:rFonts w:ascii="Times New Roman" w:hAnsi="Times New Roman" w:cs="Times New Roman"/>
          <w:sz w:val="24"/>
          <w:szCs w:val="24"/>
        </w:rPr>
        <w:t>d</w:t>
      </w:r>
      <w:r w:rsidR="00CA3863" w:rsidRPr="003002C1">
        <w:rPr>
          <w:rFonts w:ascii="Times New Roman" w:hAnsi="Times New Roman" w:cs="Times New Roman"/>
          <w:sz w:val="24"/>
          <w:szCs w:val="24"/>
        </w:rPr>
        <w:t xml:space="preserve"> an FTA rate of 33%, those who scored a </w:t>
      </w:r>
      <w:r w:rsidR="007B7F73">
        <w:rPr>
          <w:rFonts w:ascii="Times New Roman" w:hAnsi="Times New Roman" w:cs="Times New Roman"/>
          <w:sz w:val="24"/>
          <w:szCs w:val="24"/>
        </w:rPr>
        <w:t>six</w:t>
      </w:r>
      <w:r w:rsidR="00CA3863" w:rsidRPr="003002C1">
        <w:rPr>
          <w:rFonts w:ascii="Times New Roman" w:hAnsi="Times New Roman" w:cs="Times New Roman"/>
          <w:sz w:val="24"/>
          <w:szCs w:val="24"/>
        </w:rPr>
        <w:t xml:space="preserve"> ha</w:t>
      </w:r>
      <w:r w:rsidR="007B7F73">
        <w:rPr>
          <w:rFonts w:ascii="Times New Roman" w:hAnsi="Times New Roman" w:cs="Times New Roman"/>
          <w:sz w:val="24"/>
          <w:szCs w:val="24"/>
        </w:rPr>
        <w:t>d</w:t>
      </w:r>
      <w:r w:rsidR="00CA3863" w:rsidRPr="003002C1">
        <w:rPr>
          <w:rFonts w:ascii="Times New Roman" w:hAnsi="Times New Roman" w:cs="Times New Roman"/>
          <w:sz w:val="24"/>
          <w:szCs w:val="24"/>
        </w:rPr>
        <w:t xml:space="preserve"> an FTA rate of 35%, those that scored a </w:t>
      </w:r>
      <w:r w:rsidR="007B7F73">
        <w:rPr>
          <w:rFonts w:ascii="Times New Roman" w:hAnsi="Times New Roman" w:cs="Times New Roman"/>
          <w:sz w:val="24"/>
          <w:szCs w:val="24"/>
        </w:rPr>
        <w:t>seven</w:t>
      </w:r>
      <w:r w:rsidR="00CA3863" w:rsidRPr="003002C1">
        <w:rPr>
          <w:rFonts w:ascii="Times New Roman" w:hAnsi="Times New Roman" w:cs="Times New Roman"/>
          <w:sz w:val="24"/>
          <w:szCs w:val="24"/>
        </w:rPr>
        <w:t xml:space="preserve"> ha</w:t>
      </w:r>
      <w:r w:rsidR="007B7F73">
        <w:rPr>
          <w:rFonts w:ascii="Times New Roman" w:hAnsi="Times New Roman" w:cs="Times New Roman"/>
          <w:sz w:val="24"/>
          <w:szCs w:val="24"/>
        </w:rPr>
        <w:t>d</w:t>
      </w:r>
      <w:r w:rsidR="00CA3863" w:rsidRPr="003002C1">
        <w:rPr>
          <w:rFonts w:ascii="Times New Roman" w:hAnsi="Times New Roman" w:cs="Times New Roman"/>
          <w:sz w:val="24"/>
          <w:szCs w:val="24"/>
        </w:rPr>
        <w:t xml:space="preserve"> an FTA rate of 25%. In comparison, those who rank low had a </w:t>
      </w:r>
      <w:r w:rsidR="00196899">
        <w:rPr>
          <w:rFonts w:ascii="Times New Roman" w:hAnsi="Times New Roman" w:cs="Times New Roman"/>
          <w:sz w:val="24"/>
          <w:szCs w:val="24"/>
        </w:rPr>
        <w:t>zero percent</w:t>
      </w:r>
      <w:r w:rsidR="00CA3863" w:rsidRPr="003002C1">
        <w:rPr>
          <w:rFonts w:ascii="Times New Roman" w:hAnsi="Times New Roman" w:cs="Times New Roman"/>
          <w:sz w:val="24"/>
          <w:szCs w:val="24"/>
        </w:rPr>
        <w:t xml:space="preserve"> FTA</w:t>
      </w:r>
      <w:r w:rsidR="00196899">
        <w:rPr>
          <w:rFonts w:ascii="Times New Roman" w:hAnsi="Times New Roman" w:cs="Times New Roman"/>
          <w:sz w:val="24"/>
          <w:szCs w:val="24"/>
        </w:rPr>
        <w:t xml:space="preserve"> rate</w:t>
      </w:r>
      <w:r w:rsidR="00CA3863" w:rsidRPr="003002C1">
        <w:rPr>
          <w:rFonts w:ascii="Times New Roman" w:hAnsi="Times New Roman" w:cs="Times New Roman"/>
          <w:sz w:val="24"/>
          <w:szCs w:val="24"/>
        </w:rPr>
        <w:t xml:space="preserve">. The increase in FTA rates is uninformed. </w:t>
      </w:r>
    </w:p>
    <w:p w14:paraId="6ED5DA1F" w14:textId="07BD7084" w:rsidR="00CA3863" w:rsidRDefault="00CA3863" w:rsidP="00CA3863">
      <w:pPr>
        <w:jc w:val="both"/>
        <w:rPr>
          <w:rFonts w:ascii="Times New Roman" w:hAnsi="Times New Roman" w:cs="Times New Roman"/>
          <w:sz w:val="24"/>
          <w:szCs w:val="24"/>
        </w:rPr>
      </w:pPr>
    </w:p>
    <w:p w14:paraId="09923818" w14:textId="0DFAD833" w:rsidR="002F446B" w:rsidRDefault="002F446B" w:rsidP="00CA3863">
      <w:pPr>
        <w:jc w:val="both"/>
        <w:rPr>
          <w:rFonts w:ascii="Times New Roman" w:hAnsi="Times New Roman" w:cs="Times New Roman"/>
          <w:sz w:val="24"/>
          <w:szCs w:val="24"/>
        </w:rPr>
      </w:pPr>
    </w:p>
    <w:p w14:paraId="6B44DA6A" w14:textId="77777777" w:rsidR="00872DA2" w:rsidRPr="003002C1" w:rsidRDefault="00872DA2" w:rsidP="00CA3863">
      <w:pPr>
        <w:jc w:val="both"/>
        <w:rPr>
          <w:rFonts w:ascii="Times New Roman" w:hAnsi="Times New Roman" w:cs="Times New Roman"/>
          <w:sz w:val="24"/>
          <w:szCs w:val="24"/>
        </w:rPr>
      </w:pPr>
    </w:p>
    <w:p w14:paraId="1D1DDBD0" w14:textId="77777777" w:rsidR="00CA3863" w:rsidRPr="003002C1" w:rsidRDefault="00CA3863" w:rsidP="00CA3863">
      <w:pPr>
        <w:jc w:val="both"/>
        <w:rPr>
          <w:rFonts w:ascii="Times New Roman" w:hAnsi="Times New Roman" w:cs="Times New Roman"/>
          <w:sz w:val="24"/>
          <w:szCs w:val="24"/>
        </w:rPr>
      </w:pPr>
    </w:p>
    <w:p w14:paraId="1D867A7B" w14:textId="60E170AB" w:rsidR="00CA3863" w:rsidRPr="003002C1" w:rsidRDefault="00E42FAB" w:rsidP="00CA3863">
      <w:pPr>
        <w:jc w:val="both"/>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w:t>
      </w:r>
      <w:r w:rsidR="006E3313">
        <w:rPr>
          <w:rFonts w:ascii="Times New Roman" w:hAnsi="Times New Roman" w:cs="Times New Roman"/>
          <w:b/>
          <w:bCs/>
          <w:sz w:val="24"/>
          <w:szCs w:val="24"/>
        </w:rPr>
        <w:t>14</w:t>
      </w:r>
      <w:r w:rsidR="00CA3863" w:rsidRPr="003002C1">
        <w:rPr>
          <w:rFonts w:ascii="Times New Roman" w:hAnsi="Times New Roman" w:cs="Times New Roman"/>
          <w:b/>
          <w:bCs/>
          <w:sz w:val="24"/>
          <w:szCs w:val="24"/>
        </w:rPr>
        <w:t xml:space="preserve">: FTA by risk level </w:t>
      </w:r>
    </w:p>
    <w:p w14:paraId="4B1571D6" w14:textId="70631A4D"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i/>
          <w:iCs/>
          <w:noProof/>
          <w:sz w:val="24"/>
          <w:szCs w:val="24"/>
        </w:rPr>
        <w:drawing>
          <wp:anchor distT="0" distB="0" distL="114300" distR="114300" simplePos="0" relativeHeight="251678720" behindDoc="1" locked="0" layoutInCell="1" allowOverlap="1" wp14:anchorId="2A9FE39B" wp14:editId="52EB7BC9">
            <wp:simplePos x="0" y="0"/>
            <wp:positionH relativeFrom="column">
              <wp:posOffset>0</wp:posOffset>
            </wp:positionH>
            <wp:positionV relativeFrom="paragraph">
              <wp:posOffset>1645</wp:posOffset>
            </wp:positionV>
            <wp:extent cx="4191000" cy="2476500"/>
            <wp:effectExtent l="0" t="0" r="0" b="0"/>
            <wp:wrapTight wrapText="bothSides">
              <wp:wrapPolygon edited="0">
                <wp:start x="0" y="0"/>
                <wp:lineTo x="0" y="21434"/>
                <wp:lineTo x="21502" y="21434"/>
                <wp:lineTo x="21502"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w:t>
      </w:r>
      <w:r w:rsidR="006E3313">
        <w:rPr>
          <w:rFonts w:ascii="Times New Roman" w:hAnsi="Times New Roman" w:cs="Times New Roman"/>
          <w:sz w:val="24"/>
          <w:szCs w:val="24"/>
        </w:rPr>
        <w:t>14</w:t>
      </w:r>
      <w:r w:rsidRPr="003002C1">
        <w:rPr>
          <w:rFonts w:ascii="Times New Roman" w:hAnsi="Times New Roman" w:cs="Times New Roman"/>
          <w:sz w:val="24"/>
          <w:szCs w:val="24"/>
        </w:rPr>
        <w:t xml:space="preserve"> demonstrates that FTA increases relatively as risk level increases, and the increase </w:t>
      </w:r>
      <w:r w:rsidR="00EF246B">
        <w:rPr>
          <w:rFonts w:ascii="Times New Roman" w:hAnsi="Times New Roman" w:cs="Times New Roman"/>
          <w:sz w:val="24"/>
          <w:szCs w:val="24"/>
        </w:rPr>
        <w:t>was</w:t>
      </w:r>
      <w:r w:rsidRPr="003002C1">
        <w:rPr>
          <w:rFonts w:ascii="Times New Roman" w:hAnsi="Times New Roman" w:cs="Times New Roman"/>
          <w:sz w:val="24"/>
          <w:szCs w:val="24"/>
        </w:rPr>
        <w:t xml:space="preserve"> statistically significant (Chi2=6.0356; p &lt;.05). The p-value at 0.04 indicates it </w:t>
      </w:r>
      <w:r w:rsidR="00EF246B">
        <w:rPr>
          <w:rFonts w:ascii="Times New Roman" w:hAnsi="Times New Roman" w:cs="Times New Roman"/>
          <w:sz w:val="24"/>
          <w:szCs w:val="24"/>
        </w:rPr>
        <w:t>was</w:t>
      </w:r>
      <w:r w:rsidRPr="003002C1">
        <w:rPr>
          <w:rFonts w:ascii="Times New Roman" w:hAnsi="Times New Roman" w:cs="Times New Roman"/>
          <w:sz w:val="24"/>
          <w:szCs w:val="24"/>
        </w:rPr>
        <w:t xml:space="preserve"> statistically significant at the 95 % CI.  The gamma coefficient is .4246 suggesting a modest relationship of risk levels. Like 2019, risk levels are statistically significant and have a more robust gamma coefficient meaning a stronger linear relationship than the individual risk scores. </w:t>
      </w:r>
    </w:p>
    <w:p w14:paraId="78605424" w14:textId="240DC88F" w:rsidR="00CA3863" w:rsidRPr="003002C1" w:rsidRDefault="00CA3863" w:rsidP="00CA3863">
      <w:pPr>
        <w:pStyle w:val="TipText"/>
        <w:jc w:val="center"/>
        <w:rPr>
          <w:rFonts w:ascii="Times New Roman" w:hAnsi="Times New Roman" w:cs="Times New Roman"/>
          <w:i w:val="0"/>
          <w:iCs w:val="0"/>
          <w:color w:val="auto"/>
          <w:sz w:val="24"/>
          <w:szCs w:val="24"/>
        </w:rPr>
      </w:pPr>
      <w:r w:rsidRPr="003002C1">
        <w:rPr>
          <w:rFonts w:ascii="Times New Roman" w:hAnsi="Times New Roman" w:cs="Times New Roman"/>
          <w:i w:val="0"/>
          <w:iCs w:val="0"/>
          <w:color w:val="auto"/>
          <w:sz w:val="24"/>
          <w:szCs w:val="24"/>
        </w:rPr>
        <w:t>Chi2(</w:t>
      </w:r>
      <w:proofErr w:type="gramStart"/>
      <w:r w:rsidRPr="003002C1">
        <w:rPr>
          <w:rFonts w:ascii="Times New Roman" w:hAnsi="Times New Roman" w:cs="Times New Roman"/>
          <w:i w:val="0"/>
          <w:iCs w:val="0"/>
          <w:color w:val="auto"/>
          <w:sz w:val="24"/>
          <w:szCs w:val="24"/>
        </w:rPr>
        <w:t>9)=</w:t>
      </w:r>
      <w:proofErr w:type="gramEnd"/>
      <w:r w:rsidRPr="003002C1">
        <w:rPr>
          <w:rFonts w:ascii="Times New Roman" w:hAnsi="Times New Roman" w:cs="Times New Roman"/>
          <w:i w:val="0"/>
          <w:iCs w:val="0"/>
          <w:color w:val="auto"/>
          <w:sz w:val="24"/>
          <w:szCs w:val="24"/>
        </w:rPr>
        <w:t>6.0356 (p&lt;.05)  Gamma=.4246</w:t>
      </w:r>
    </w:p>
    <w:p w14:paraId="2288D068" w14:textId="4F8BDB08" w:rsidR="00CA3863" w:rsidRPr="003002C1" w:rsidRDefault="00E65A98" w:rsidP="00CA3863">
      <w:pPr>
        <w:pStyle w:val="TipTex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Table</w:t>
      </w:r>
      <w:r w:rsidR="00CA3863" w:rsidRPr="003002C1">
        <w:rPr>
          <w:rFonts w:ascii="Times New Roman" w:hAnsi="Times New Roman" w:cs="Times New Roman"/>
          <w:b/>
          <w:bCs/>
          <w:i w:val="0"/>
          <w:iCs w:val="0"/>
          <w:color w:val="auto"/>
          <w:sz w:val="24"/>
          <w:szCs w:val="24"/>
        </w:rPr>
        <w:t xml:space="preserve"> </w:t>
      </w:r>
      <w:r w:rsidR="006E3313">
        <w:rPr>
          <w:rFonts w:ascii="Times New Roman" w:hAnsi="Times New Roman" w:cs="Times New Roman"/>
          <w:b/>
          <w:bCs/>
          <w:i w:val="0"/>
          <w:iCs w:val="0"/>
          <w:color w:val="auto"/>
          <w:sz w:val="24"/>
          <w:szCs w:val="24"/>
        </w:rPr>
        <w:t>21</w:t>
      </w:r>
      <w:r w:rsidR="00CA3863" w:rsidRPr="003002C1">
        <w:rPr>
          <w:rFonts w:ascii="Times New Roman" w:hAnsi="Times New Roman" w:cs="Times New Roman"/>
          <w:b/>
          <w:bCs/>
          <w:i w:val="0"/>
          <w:iCs w:val="0"/>
          <w:color w:val="auto"/>
          <w:sz w:val="24"/>
          <w:szCs w:val="24"/>
        </w:rPr>
        <w:t>: Logit Regression predicting failure</w:t>
      </w:r>
      <w:r w:rsidR="00BF7140">
        <w:rPr>
          <w:rFonts w:ascii="Times New Roman" w:hAnsi="Times New Roman" w:cs="Times New Roman"/>
          <w:b/>
          <w:bCs/>
          <w:i w:val="0"/>
          <w:iCs w:val="0"/>
          <w:color w:val="auto"/>
          <w:sz w:val="24"/>
          <w:szCs w:val="24"/>
        </w:rPr>
        <w:t>-</w:t>
      </w:r>
      <w:r w:rsidR="00CA3863" w:rsidRPr="003002C1">
        <w:rPr>
          <w:rFonts w:ascii="Times New Roman" w:hAnsi="Times New Roman" w:cs="Times New Roman"/>
          <w:b/>
          <w:bCs/>
          <w:i w:val="0"/>
          <w:iCs w:val="0"/>
          <w:color w:val="auto"/>
          <w:sz w:val="24"/>
          <w:szCs w:val="24"/>
        </w:rPr>
        <w:t>to</w:t>
      </w:r>
      <w:r w:rsidR="00BF7140">
        <w:rPr>
          <w:rFonts w:ascii="Times New Roman" w:hAnsi="Times New Roman" w:cs="Times New Roman"/>
          <w:b/>
          <w:bCs/>
          <w:i w:val="0"/>
          <w:iCs w:val="0"/>
          <w:color w:val="auto"/>
          <w:sz w:val="24"/>
          <w:szCs w:val="24"/>
        </w:rPr>
        <w:t>-</w:t>
      </w:r>
      <w:r w:rsidR="00CA3863" w:rsidRPr="003002C1">
        <w:rPr>
          <w:rFonts w:ascii="Times New Roman" w:hAnsi="Times New Roman" w:cs="Times New Roman"/>
          <w:b/>
          <w:bCs/>
          <w:i w:val="0"/>
          <w:iCs w:val="0"/>
          <w:color w:val="auto"/>
          <w:sz w:val="24"/>
          <w:szCs w:val="24"/>
        </w:rPr>
        <w:t>appear, new arrest and total revocations (n=198)</w:t>
      </w:r>
    </w:p>
    <w:tbl>
      <w:tblPr>
        <w:tblStyle w:val="PlainTable4"/>
        <w:tblW w:w="0" w:type="auto"/>
        <w:tblLook w:val="04A0" w:firstRow="1" w:lastRow="0" w:firstColumn="1" w:lastColumn="0" w:noHBand="0" w:noVBand="1"/>
      </w:tblPr>
      <w:tblGrid>
        <w:gridCol w:w="2393"/>
        <w:gridCol w:w="2039"/>
        <w:gridCol w:w="2039"/>
        <w:gridCol w:w="2039"/>
      </w:tblGrid>
      <w:tr w:rsidR="00CA3863" w:rsidRPr="003002C1" w14:paraId="440E4552" w14:textId="77777777" w:rsidTr="00A07AC4">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393" w:type="dxa"/>
          </w:tcPr>
          <w:p w14:paraId="75AFEBD6" w14:textId="77777777" w:rsidR="00CA3863" w:rsidRPr="003002C1" w:rsidRDefault="00CA3863" w:rsidP="00A07AC4">
            <w:pPr>
              <w:spacing w:after="160" w:line="259" w:lineRule="auto"/>
              <w:contextualSpacing/>
              <w:jc w:val="center"/>
              <w:rPr>
                <w:rFonts w:ascii="Times New Roman" w:eastAsia="Times New Roman" w:hAnsi="Times New Roman" w:cs="Times New Roman"/>
                <w:sz w:val="24"/>
                <w:szCs w:val="24"/>
              </w:rPr>
            </w:pPr>
          </w:p>
          <w:p w14:paraId="78F76A93" w14:textId="77777777" w:rsidR="00CA3863" w:rsidRPr="003002C1" w:rsidRDefault="00CA3863" w:rsidP="00A07AC4">
            <w:pPr>
              <w:spacing w:after="160"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Dependent variable </w:t>
            </w:r>
          </w:p>
        </w:tc>
        <w:tc>
          <w:tcPr>
            <w:tcW w:w="2039" w:type="dxa"/>
          </w:tcPr>
          <w:p w14:paraId="46C070BA"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Model I</w:t>
            </w:r>
          </w:p>
          <w:p w14:paraId="5FB17BFD"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FTA</w:t>
            </w:r>
          </w:p>
          <w:p w14:paraId="36EE92BF"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OR(SE) </w:t>
            </w:r>
          </w:p>
        </w:tc>
        <w:tc>
          <w:tcPr>
            <w:tcW w:w="2039" w:type="dxa"/>
          </w:tcPr>
          <w:p w14:paraId="79806A32"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Model II</w:t>
            </w:r>
          </w:p>
          <w:p w14:paraId="4E7704F0"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New Arrest </w:t>
            </w:r>
          </w:p>
          <w:p w14:paraId="47053FEE"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OR(SE)</w:t>
            </w:r>
          </w:p>
        </w:tc>
        <w:tc>
          <w:tcPr>
            <w:tcW w:w="2039" w:type="dxa"/>
          </w:tcPr>
          <w:p w14:paraId="2F727803"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Model III</w:t>
            </w:r>
          </w:p>
          <w:p w14:paraId="5572C9CE" w14:textId="77777777" w:rsidR="00CA3863" w:rsidRPr="003002C1" w:rsidRDefault="00CA3863" w:rsidP="00A07AC4">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Total Revocations </w:t>
            </w:r>
          </w:p>
          <w:p w14:paraId="2FB4BEF3" w14:textId="77777777" w:rsidR="00CA3863" w:rsidRPr="003002C1" w:rsidRDefault="00CA3863" w:rsidP="00A07AC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OR(SE)</w:t>
            </w:r>
          </w:p>
        </w:tc>
      </w:tr>
      <w:tr w:rsidR="00CA3863" w:rsidRPr="003002C1" w14:paraId="120E06EA" w14:textId="77777777" w:rsidTr="00A07AC4">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393" w:type="dxa"/>
          </w:tcPr>
          <w:p w14:paraId="72863AD8"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Female </w:t>
            </w:r>
          </w:p>
        </w:tc>
        <w:tc>
          <w:tcPr>
            <w:tcW w:w="2039" w:type="dxa"/>
          </w:tcPr>
          <w:p w14:paraId="228C6B6E"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 .4855</w:t>
            </w:r>
          </w:p>
          <w:p w14:paraId="0002114A"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(.2569)</w:t>
            </w:r>
          </w:p>
        </w:tc>
        <w:tc>
          <w:tcPr>
            <w:tcW w:w="2039" w:type="dxa"/>
          </w:tcPr>
          <w:p w14:paraId="6A5DEB71"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.6543</w:t>
            </w:r>
          </w:p>
          <w:p w14:paraId="301E4AA9"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(.5234)</w:t>
            </w:r>
          </w:p>
        </w:tc>
        <w:tc>
          <w:tcPr>
            <w:tcW w:w="2039" w:type="dxa"/>
          </w:tcPr>
          <w:p w14:paraId="1522F95C"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.3945**</w:t>
            </w:r>
          </w:p>
          <w:p w14:paraId="79C4E83B"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(.1828)</w:t>
            </w:r>
          </w:p>
        </w:tc>
      </w:tr>
      <w:tr w:rsidR="00CA3863" w:rsidRPr="003002C1" w14:paraId="5398A593" w14:textId="77777777" w:rsidTr="00A07AC4">
        <w:trPr>
          <w:trHeight w:val="422"/>
        </w:trPr>
        <w:tc>
          <w:tcPr>
            <w:cnfStyle w:val="001000000000" w:firstRow="0" w:lastRow="0" w:firstColumn="1" w:lastColumn="0" w:oddVBand="0" w:evenVBand="0" w:oddHBand="0" w:evenHBand="0" w:firstRowFirstColumn="0" w:firstRowLastColumn="0" w:lastRowFirstColumn="0" w:lastRowLastColumn="0"/>
            <w:tcW w:w="2393" w:type="dxa"/>
          </w:tcPr>
          <w:p w14:paraId="3F2BECA4"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Risk Score  </w:t>
            </w:r>
          </w:p>
        </w:tc>
        <w:tc>
          <w:tcPr>
            <w:tcW w:w="2039" w:type="dxa"/>
          </w:tcPr>
          <w:p w14:paraId="13221ACF" w14:textId="77777777" w:rsidR="00CA3863" w:rsidRPr="003002C1" w:rsidRDefault="00CA3863" w:rsidP="00A07AC4">
            <w:pPr>
              <w:spacing w:before="24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1.3882***</w:t>
            </w:r>
          </w:p>
          <w:p w14:paraId="1E6B38C4" w14:textId="77777777" w:rsidR="00CA3863" w:rsidRPr="003002C1" w:rsidRDefault="00CA3863" w:rsidP="00A07AC4">
            <w:pPr>
              <w:spacing w:before="24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(.1511)</w:t>
            </w:r>
          </w:p>
        </w:tc>
        <w:tc>
          <w:tcPr>
            <w:tcW w:w="2039" w:type="dxa"/>
          </w:tcPr>
          <w:p w14:paraId="126D6836"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1.2099</w:t>
            </w:r>
          </w:p>
          <w:p w14:paraId="0A438B27"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(.1949)</w:t>
            </w:r>
          </w:p>
        </w:tc>
        <w:tc>
          <w:tcPr>
            <w:tcW w:w="2039" w:type="dxa"/>
          </w:tcPr>
          <w:p w14:paraId="5C3E1F19"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1.4053***</w:t>
            </w:r>
          </w:p>
          <w:p w14:paraId="563BEA4E" w14:textId="77777777" w:rsidR="00CA3863" w:rsidRPr="003002C1" w:rsidRDefault="00CA3863" w:rsidP="00A07AC4">
            <w:pPr>
              <w:spacing w:before="24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(.1386)</w:t>
            </w:r>
          </w:p>
        </w:tc>
      </w:tr>
      <w:tr w:rsidR="00CA3863" w:rsidRPr="003002C1" w14:paraId="28EA3244" w14:textId="77777777" w:rsidTr="00A07AC4">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393" w:type="dxa"/>
          </w:tcPr>
          <w:p w14:paraId="2214E02E"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Black  </w:t>
            </w:r>
          </w:p>
        </w:tc>
        <w:tc>
          <w:tcPr>
            <w:tcW w:w="2039" w:type="dxa"/>
          </w:tcPr>
          <w:p w14:paraId="15E90E25"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.6377</w:t>
            </w:r>
          </w:p>
          <w:p w14:paraId="28D05538" w14:textId="77777777" w:rsidR="00CA3863" w:rsidRPr="003002C1" w:rsidRDefault="00CA3863" w:rsidP="00A07AC4">
            <w:pPr>
              <w:spacing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(.2898)</w:t>
            </w:r>
          </w:p>
        </w:tc>
        <w:tc>
          <w:tcPr>
            <w:tcW w:w="2039" w:type="dxa"/>
          </w:tcPr>
          <w:p w14:paraId="5B620C86"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2.8174</w:t>
            </w:r>
          </w:p>
          <w:p w14:paraId="5B875FF2"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(2.355)</w:t>
            </w:r>
          </w:p>
        </w:tc>
        <w:tc>
          <w:tcPr>
            <w:tcW w:w="2039" w:type="dxa"/>
          </w:tcPr>
          <w:p w14:paraId="7378BD00"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.6793</w:t>
            </w:r>
          </w:p>
          <w:p w14:paraId="79F78D07"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(.2650)</w:t>
            </w:r>
          </w:p>
        </w:tc>
      </w:tr>
      <w:tr w:rsidR="00CA3863" w:rsidRPr="003002C1" w14:paraId="41571309" w14:textId="77777777" w:rsidTr="00A07AC4">
        <w:trPr>
          <w:trHeight w:val="468"/>
        </w:trPr>
        <w:tc>
          <w:tcPr>
            <w:cnfStyle w:val="001000000000" w:firstRow="0" w:lastRow="0" w:firstColumn="1" w:lastColumn="0" w:oddVBand="0" w:evenVBand="0" w:oddHBand="0" w:evenHBand="0" w:firstRowFirstColumn="0" w:firstRowLastColumn="0" w:lastRowFirstColumn="0" w:lastRowLastColumn="0"/>
            <w:tcW w:w="2393" w:type="dxa"/>
          </w:tcPr>
          <w:p w14:paraId="3B9723C2" w14:textId="77777777" w:rsidR="00CA3863" w:rsidRPr="003002C1" w:rsidRDefault="00CA3863" w:rsidP="00A07AC4">
            <w:pPr>
              <w:spacing w:line="259" w:lineRule="auto"/>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Latine  </w:t>
            </w:r>
          </w:p>
        </w:tc>
        <w:tc>
          <w:tcPr>
            <w:tcW w:w="2039" w:type="dxa"/>
          </w:tcPr>
          <w:p w14:paraId="3043A723" w14:textId="77777777" w:rsidR="00CA3863" w:rsidRPr="003002C1" w:rsidRDefault="00CA3863" w:rsidP="00A07AC4">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1.2793</w:t>
            </w:r>
          </w:p>
          <w:p w14:paraId="2E6FC581" w14:textId="77777777" w:rsidR="00CA3863" w:rsidRPr="003002C1" w:rsidRDefault="00CA3863" w:rsidP="00A07AC4">
            <w:pPr>
              <w:spacing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(.6205)</w:t>
            </w:r>
          </w:p>
        </w:tc>
        <w:tc>
          <w:tcPr>
            <w:tcW w:w="2039" w:type="dxa"/>
          </w:tcPr>
          <w:p w14:paraId="10F8ACE6"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3.4624</w:t>
            </w:r>
          </w:p>
          <w:p w14:paraId="2F0DAE86"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(3.1002)</w:t>
            </w:r>
          </w:p>
        </w:tc>
        <w:tc>
          <w:tcPr>
            <w:tcW w:w="2039" w:type="dxa"/>
          </w:tcPr>
          <w:p w14:paraId="3AED22A5"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1.1780</w:t>
            </w:r>
          </w:p>
          <w:p w14:paraId="3656F739" w14:textId="77777777" w:rsidR="00CA3863" w:rsidRPr="003002C1" w:rsidRDefault="00CA3863" w:rsidP="00A07AC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(.5115)</w:t>
            </w:r>
          </w:p>
        </w:tc>
      </w:tr>
      <w:tr w:rsidR="00CA3863" w:rsidRPr="003002C1" w14:paraId="0B02801A" w14:textId="77777777" w:rsidTr="00A07AC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393" w:type="dxa"/>
          </w:tcPr>
          <w:p w14:paraId="1C058708" w14:textId="77777777" w:rsidR="00CA3863" w:rsidRPr="003002C1" w:rsidRDefault="00CA3863" w:rsidP="00A07AC4">
            <w:pPr>
              <w:contextualSpacing/>
              <w:jc w:val="both"/>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 xml:space="preserve">AUC </w:t>
            </w:r>
          </w:p>
        </w:tc>
        <w:tc>
          <w:tcPr>
            <w:tcW w:w="2039" w:type="dxa"/>
          </w:tcPr>
          <w:p w14:paraId="1B19F668"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.6932</w:t>
            </w:r>
          </w:p>
        </w:tc>
        <w:tc>
          <w:tcPr>
            <w:tcW w:w="2039" w:type="dxa"/>
          </w:tcPr>
          <w:p w14:paraId="4E0EA59C"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.6505</w:t>
            </w:r>
          </w:p>
        </w:tc>
        <w:tc>
          <w:tcPr>
            <w:tcW w:w="2039" w:type="dxa"/>
          </w:tcPr>
          <w:p w14:paraId="22F4237F" w14:textId="77777777" w:rsidR="00CA3863" w:rsidRPr="003002C1" w:rsidRDefault="00CA3863" w:rsidP="00A07AC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002C1">
              <w:rPr>
                <w:rFonts w:ascii="Times New Roman" w:eastAsia="Times New Roman" w:hAnsi="Times New Roman" w:cs="Times New Roman"/>
                <w:sz w:val="24"/>
                <w:szCs w:val="24"/>
              </w:rPr>
              <w:t>.6861</w:t>
            </w:r>
          </w:p>
        </w:tc>
      </w:tr>
    </w:tbl>
    <w:p w14:paraId="79F92B6D" w14:textId="77777777" w:rsidR="00CA3863" w:rsidRPr="003002C1" w:rsidRDefault="00CA3863" w:rsidP="00CA3863">
      <w:pPr>
        <w:jc w:val="both"/>
        <w:rPr>
          <w:rFonts w:ascii="Times New Roman" w:eastAsia="Times New Roman" w:hAnsi="Times New Roman" w:cs="Times New Roman"/>
          <w:sz w:val="24"/>
          <w:szCs w:val="24"/>
        </w:rPr>
      </w:pPr>
      <w:r w:rsidRPr="003002C1">
        <w:rPr>
          <w:rFonts w:ascii="Times New Roman" w:hAnsi="Times New Roman" w:cs="Times New Roman"/>
          <w:sz w:val="24"/>
          <w:szCs w:val="24"/>
        </w:rPr>
        <w:t>Note: *** significant at the 1% level ** Significant at the 5% level and * significant at 10 %</w:t>
      </w:r>
      <w:r w:rsidRPr="003002C1">
        <w:rPr>
          <w:rFonts w:ascii="Times New Roman" w:hAnsi="Times New Roman" w:cs="Times New Roman"/>
          <w:b/>
          <w:bCs/>
          <w:sz w:val="24"/>
          <w:szCs w:val="24"/>
        </w:rPr>
        <w:t xml:space="preserve">. </w:t>
      </w:r>
      <w:r w:rsidRPr="003002C1">
        <w:rPr>
          <w:rFonts w:ascii="Times New Roman" w:eastAsia="Times New Roman" w:hAnsi="Times New Roman" w:cs="Times New Roman"/>
          <w:sz w:val="24"/>
          <w:szCs w:val="24"/>
        </w:rPr>
        <w:t>OR= Odds Ratio and SE= Standard Error</w:t>
      </w:r>
    </w:p>
    <w:p w14:paraId="6703E776" w14:textId="4F23398E" w:rsidR="00CA3863" w:rsidRPr="0061462F" w:rsidRDefault="00FF5973" w:rsidP="00CA3863">
      <w:pPr>
        <w:jc w:val="both"/>
        <w:rPr>
          <w:rFonts w:ascii="Times New Roman" w:hAnsi="Times New Roman" w:cs="Times New Roman"/>
          <w:sz w:val="24"/>
          <w:szCs w:val="24"/>
        </w:rPr>
      </w:pPr>
      <w:r>
        <w:rPr>
          <w:rFonts w:ascii="Times New Roman" w:hAnsi="Times New Roman" w:cs="Times New Roman"/>
          <w:sz w:val="24"/>
          <w:szCs w:val="24"/>
        </w:rPr>
        <w:t>A l</w:t>
      </w:r>
      <w:r w:rsidR="00CA3863" w:rsidRPr="0061462F">
        <w:rPr>
          <w:rFonts w:ascii="Times New Roman" w:hAnsi="Times New Roman" w:cs="Times New Roman"/>
          <w:sz w:val="24"/>
          <w:szCs w:val="24"/>
        </w:rPr>
        <w:t xml:space="preserve">ogistic regression was run to predict the odds ratio of FTA for those that were released on pretrial supervision. The R2 of the model is .0674, indicating that the variables in the model explain 6% of the variance. An odds ratio of less than one indicates a lower outcome. An odds ratio above one indicates an increased likelihood of FTA. In </w:t>
      </w:r>
      <w:r w:rsidR="00E65A98">
        <w:rPr>
          <w:rFonts w:ascii="Times New Roman" w:hAnsi="Times New Roman" w:cs="Times New Roman"/>
          <w:sz w:val="24"/>
          <w:szCs w:val="24"/>
        </w:rPr>
        <w:t>Table</w:t>
      </w:r>
      <w:r w:rsidR="00CA3863" w:rsidRPr="0061462F">
        <w:rPr>
          <w:rFonts w:ascii="Times New Roman" w:hAnsi="Times New Roman" w:cs="Times New Roman"/>
          <w:sz w:val="24"/>
          <w:szCs w:val="24"/>
        </w:rPr>
        <w:t xml:space="preserve"> </w:t>
      </w:r>
      <w:r w:rsidR="006E3313">
        <w:rPr>
          <w:rFonts w:ascii="Times New Roman" w:hAnsi="Times New Roman" w:cs="Times New Roman"/>
          <w:sz w:val="24"/>
          <w:szCs w:val="24"/>
        </w:rPr>
        <w:t>21</w:t>
      </w:r>
      <w:r w:rsidR="00CA3863" w:rsidRPr="0061462F">
        <w:rPr>
          <w:rFonts w:ascii="Times New Roman" w:hAnsi="Times New Roman" w:cs="Times New Roman"/>
          <w:sz w:val="24"/>
          <w:szCs w:val="24"/>
        </w:rPr>
        <w:t xml:space="preserve">, the results find that the risk score </w:t>
      </w:r>
      <w:r w:rsidR="00EF246B">
        <w:rPr>
          <w:rFonts w:ascii="Times New Roman" w:hAnsi="Times New Roman" w:cs="Times New Roman"/>
          <w:sz w:val="24"/>
          <w:szCs w:val="24"/>
        </w:rPr>
        <w:t>was</w:t>
      </w:r>
      <w:r w:rsidR="00CA3863" w:rsidRPr="0061462F">
        <w:rPr>
          <w:rFonts w:ascii="Times New Roman" w:hAnsi="Times New Roman" w:cs="Times New Roman"/>
          <w:sz w:val="24"/>
          <w:szCs w:val="24"/>
        </w:rPr>
        <w:t xml:space="preserve"> </w:t>
      </w:r>
      <w:r w:rsidR="00CA3863" w:rsidRPr="0061462F">
        <w:rPr>
          <w:rFonts w:ascii="Times New Roman" w:hAnsi="Times New Roman" w:cs="Times New Roman"/>
          <w:sz w:val="24"/>
          <w:szCs w:val="24"/>
        </w:rPr>
        <w:lastRenderedPageBreak/>
        <w:t>statistically significant at predicting FTA at the 95% confidence level. It indicates that the risk score was associated with a 38% increase in the odds of pretrial failure (OR=1.38). If someone was a female, Black or Latine was not statistically significant at explaining FTA. The nonstatistical significance does not indicate there is no racial disparity but indicates that race does not predict FTA. In model II predicting new arrest, no variable is statistically significant a</w:t>
      </w:r>
      <w:r w:rsidR="003A3403">
        <w:rPr>
          <w:rFonts w:ascii="Times New Roman" w:hAnsi="Times New Roman" w:cs="Times New Roman"/>
          <w:sz w:val="24"/>
          <w:szCs w:val="24"/>
        </w:rPr>
        <w:t>t</w:t>
      </w:r>
      <w:r w:rsidR="00CA3863" w:rsidRPr="0061462F">
        <w:rPr>
          <w:rFonts w:ascii="Times New Roman" w:hAnsi="Times New Roman" w:cs="Times New Roman"/>
          <w:sz w:val="24"/>
          <w:szCs w:val="24"/>
        </w:rPr>
        <w:t xml:space="preserve"> predicting the likelihood of a new arrest. In model III, if someone is female, it is statistically significant; they are less likely to have a new revocation. Holding others constant, the risk score was associated with a 40% increase in the odds of total revocation (OR=1.40). Therefore, the total risk score is statistically significant at predicting FTA and total revocations but not a new arrest. </w:t>
      </w:r>
    </w:p>
    <w:p w14:paraId="1BD3853E" w14:textId="77777777" w:rsidR="00CA3863" w:rsidRPr="003002C1" w:rsidRDefault="00CA3863" w:rsidP="00CA3863">
      <w:pPr>
        <w:jc w:val="both"/>
        <w:rPr>
          <w:rFonts w:ascii="Times New Roman" w:hAnsi="Times New Roman" w:cs="Times New Roman"/>
          <w:sz w:val="24"/>
          <w:szCs w:val="24"/>
        </w:rPr>
      </w:pPr>
      <w:r w:rsidRPr="0061462F">
        <w:rPr>
          <w:rFonts w:ascii="Times New Roman" w:hAnsi="Times New Roman" w:cs="Times New Roman"/>
          <w:sz w:val="24"/>
          <w:szCs w:val="24"/>
        </w:rPr>
        <w:t>Although race is not predictive of FTA, new arrest, or total revocations to further assess significant differences in the ORAS-PAT’s capacity to predict FTA across racial, ethnic, and gender groups, additional tests are needed. The following examines the capacity across race and gender.</w:t>
      </w:r>
    </w:p>
    <w:p w14:paraId="0099EF3B" w14:textId="77777777" w:rsidR="00960342" w:rsidRPr="003002C1" w:rsidRDefault="00960342" w:rsidP="00CA3863">
      <w:pPr>
        <w:jc w:val="both"/>
        <w:rPr>
          <w:rFonts w:ascii="Times New Roman" w:hAnsi="Times New Roman" w:cs="Times New Roman"/>
          <w:sz w:val="24"/>
          <w:szCs w:val="24"/>
        </w:rPr>
      </w:pPr>
    </w:p>
    <w:p w14:paraId="43A874F6" w14:textId="1E89D1BD" w:rsidR="00CA3863" w:rsidRPr="003002C1" w:rsidRDefault="00E42FAB" w:rsidP="00CA3863">
      <w:pPr>
        <w:spacing w:after="0"/>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1</w:t>
      </w:r>
      <w:r w:rsidR="006C08A0">
        <w:rPr>
          <w:rFonts w:ascii="Times New Roman" w:hAnsi="Times New Roman" w:cs="Times New Roman"/>
          <w:b/>
          <w:bCs/>
          <w:sz w:val="24"/>
          <w:szCs w:val="24"/>
        </w:rPr>
        <w:t>5</w:t>
      </w:r>
      <w:r w:rsidR="00CA3863" w:rsidRPr="003002C1">
        <w:rPr>
          <w:rFonts w:ascii="Times New Roman" w:hAnsi="Times New Roman" w:cs="Times New Roman"/>
          <w:b/>
          <w:bCs/>
          <w:sz w:val="24"/>
          <w:szCs w:val="24"/>
        </w:rPr>
        <w:t>: FTA rate by risk level for the white population n=51</w:t>
      </w:r>
    </w:p>
    <w:p w14:paraId="309BE77F" w14:textId="46D45D36" w:rsidR="00CA3863" w:rsidRPr="003002C1" w:rsidRDefault="00CA3863" w:rsidP="00CA3863">
      <w:pPr>
        <w:spacing w:after="0"/>
        <w:rPr>
          <w:rFonts w:ascii="Times New Roman" w:hAnsi="Times New Roman" w:cs="Times New Roman"/>
          <w:b/>
          <w:bCs/>
          <w:sz w:val="24"/>
          <w:szCs w:val="24"/>
        </w:rPr>
      </w:pPr>
      <w:r w:rsidRPr="003002C1">
        <w:rPr>
          <w:rFonts w:ascii="Times New Roman" w:hAnsi="Times New Roman" w:cs="Times New Roman"/>
          <w:noProof/>
          <w:sz w:val="24"/>
          <w:szCs w:val="24"/>
        </w:rPr>
        <w:drawing>
          <wp:anchor distT="0" distB="0" distL="114300" distR="114300" simplePos="0" relativeHeight="251679744" behindDoc="1" locked="0" layoutInCell="1" allowOverlap="1" wp14:anchorId="2EF8BCFD" wp14:editId="17771020">
            <wp:simplePos x="0" y="0"/>
            <wp:positionH relativeFrom="column">
              <wp:posOffset>0</wp:posOffset>
            </wp:positionH>
            <wp:positionV relativeFrom="paragraph">
              <wp:posOffset>-2030</wp:posOffset>
            </wp:positionV>
            <wp:extent cx="4118400" cy="2757600"/>
            <wp:effectExtent l="0" t="0" r="15875" b="5080"/>
            <wp:wrapTight wrapText="bothSides">
              <wp:wrapPolygon edited="0">
                <wp:start x="0" y="0"/>
                <wp:lineTo x="0" y="21491"/>
                <wp:lineTo x="21583" y="21491"/>
                <wp:lineTo x="21583"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3002C1">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1</w:t>
      </w:r>
      <w:r w:rsidR="006C08A0">
        <w:rPr>
          <w:rFonts w:ascii="Times New Roman" w:hAnsi="Times New Roman" w:cs="Times New Roman"/>
          <w:sz w:val="24"/>
          <w:szCs w:val="24"/>
        </w:rPr>
        <w:t>5</w:t>
      </w:r>
      <w:r w:rsidRPr="003002C1">
        <w:rPr>
          <w:rFonts w:ascii="Times New Roman" w:hAnsi="Times New Roman" w:cs="Times New Roman"/>
          <w:sz w:val="24"/>
          <w:szCs w:val="24"/>
        </w:rPr>
        <w:t>, FTA rates increase</w:t>
      </w:r>
      <w:r w:rsidR="00426C41">
        <w:rPr>
          <w:rFonts w:ascii="Times New Roman" w:hAnsi="Times New Roman" w:cs="Times New Roman"/>
          <w:sz w:val="24"/>
          <w:szCs w:val="24"/>
        </w:rPr>
        <w:t>d</w:t>
      </w:r>
      <w:r w:rsidRPr="003002C1">
        <w:rPr>
          <w:rFonts w:ascii="Times New Roman" w:hAnsi="Times New Roman" w:cs="Times New Roman"/>
          <w:sz w:val="24"/>
          <w:szCs w:val="24"/>
        </w:rPr>
        <w:t xml:space="preserve"> by risk level for individuals who are white. The AUC score is .7540 suggesting a strong predictive effect. </w:t>
      </w:r>
    </w:p>
    <w:p w14:paraId="680CBCB7" w14:textId="77777777" w:rsidR="00CA3863" w:rsidRPr="003002C1" w:rsidRDefault="00CA3863" w:rsidP="00CA3863">
      <w:pPr>
        <w:jc w:val="center"/>
        <w:rPr>
          <w:rFonts w:ascii="Times New Roman" w:hAnsi="Times New Roman" w:cs="Times New Roman"/>
          <w:sz w:val="24"/>
          <w:szCs w:val="24"/>
        </w:rPr>
      </w:pPr>
    </w:p>
    <w:p w14:paraId="4BB0A08E" w14:textId="77777777" w:rsidR="00CA3863" w:rsidRPr="003002C1" w:rsidRDefault="00CA3863" w:rsidP="00CA3863">
      <w:pPr>
        <w:jc w:val="center"/>
        <w:rPr>
          <w:rFonts w:ascii="Times New Roman" w:hAnsi="Times New Roman" w:cs="Times New Roman"/>
          <w:sz w:val="24"/>
          <w:szCs w:val="24"/>
        </w:rPr>
      </w:pPr>
    </w:p>
    <w:p w14:paraId="520C4CE3" w14:textId="77777777" w:rsidR="00CA3863" w:rsidRPr="003002C1" w:rsidRDefault="00CA3863" w:rsidP="00CA3863">
      <w:pPr>
        <w:jc w:val="center"/>
        <w:rPr>
          <w:rFonts w:ascii="Times New Roman" w:hAnsi="Times New Roman" w:cs="Times New Roman"/>
          <w:sz w:val="24"/>
          <w:szCs w:val="24"/>
        </w:rPr>
      </w:pPr>
    </w:p>
    <w:p w14:paraId="3CEE907C" w14:textId="77777777" w:rsidR="00CA3863" w:rsidRPr="003002C1" w:rsidRDefault="00CA3863" w:rsidP="00CA3863">
      <w:pPr>
        <w:jc w:val="center"/>
        <w:rPr>
          <w:rFonts w:ascii="Times New Roman" w:hAnsi="Times New Roman" w:cs="Times New Roman"/>
          <w:sz w:val="24"/>
          <w:szCs w:val="24"/>
        </w:rPr>
      </w:pPr>
    </w:p>
    <w:p w14:paraId="2729ADBB" w14:textId="77777777" w:rsidR="00CA3863" w:rsidRPr="003002C1" w:rsidRDefault="00CA3863" w:rsidP="00CA3863">
      <w:pPr>
        <w:spacing w:after="0"/>
        <w:jc w:val="center"/>
        <w:rPr>
          <w:rFonts w:ascii="Times New Roman" w:hAnsi="Times New Roman" w:cs="Times New Roman"/>
          <w:sz w:val="24"/>
          <w:szCs w:val="24"/>
        </w:rPr>
      </w:pPr>
    </w:p>
    <w:p w14:paraId="04FA99C2" w14:textId="77777777" w:rsidR="00CA3863" w:rsidRPr="003002C1" w:rsidRDefault="00CA3863" w:rsidP="00CA3863">
      <w:pPr>
        <w:spacing w:after="0"/>
        <w:jc w:val="center"/>
        <w:rPr>
          <w:rFonts w:ascii="Times New Roman" w:hAnsi="Times New Roman" w:cs="Times New Roman"/>
          <w:sz w:val="24"/>
          <w:szCs w:val="24"/>
        </w:rPr>
      </w:pPr>
    </w:p>
    <w:p w14:paraId="1CE94B25" w14:textId="77777777" w:rsidR="00CA3863" w:rsidRPr="003002C1" w:rsidRDefault="00CA3863" w:rsidP="00CA3863">
      <w:pPr>
        <w:spacing w:after="0"/>
        <w:jc w:val="center"/>
        <w:rPr>
          <w:rFonts w:ascii="Times New Roman" w:hAnsi="Times New Roman" w:cs="Times New Roman"/>
          <w:sz w:val="24"/>
          <w:szCs w:val="24"/>
        </w:rPr>
      </w:pPr>
    </w:p>
    <w:p w14:paraId="3CF48F9A" w14:textId="77777777" w:rsidR="00CA3863" w:rsidRPr="003002C1" w:rsidRDefault="00CA3863" w:rsidP="00CA3863">
      <w:pPr>
        <w:spacing w:after="0"/>
        <w:rPr>
          <w:rFonts w:ascii="Times New Roman" w:hAnsi="Times New Roman" w:cs="Times New Roman"/>
          <w:sz w:val="24"/>
          <w:szCs w:val="24"/>
        </w:rPr>
      </w:pPr>
      <w:r w:rsidRPr="003002C1">
        <w:rPr>
          <w:rFonts w:ascii="Times New Roman" w:hAnsi="Times New Roman" w:cs="Times New Roman"/>
          <w:sz w:val="24"/>
          <w:szCs w:val="24"/>
        </w:rPr>
        <w:t>AUC score=.7540</w:t>
      </w:r>
    </w:p>
    <w:p w14:paraId="0D35D387" w14:textId="77777777" w:rsidR="00CA3863" w:rsidRPr="003002C1" w:rsidRDefault="00CA3863" w:rsidP="00CA3863">
      <w:pPr>
        <w:spacing w:after="0"/>
        <w:jc w:val="center"/>
        <w:rPr>
          <w:rFonts w:ascii="Times New Roman" w:hAnsi="Times New Roman" w:cs="Times New Roman"/>
          <w:sz w:val="24"/>
          <w:szCs w:val="24"/>
        </w:rPr>
      </w:pPr>
    </w:p>
    <w:p w14:paraId="65008795" w14:textId="42FF76D1" w:rsidR="00CA3863" w:rsidRDefault="00CA3863" w:rsidP="00CA3863">
      <w:pPr>
        <w:spacing w:after="0"/>
        <w:jc w:val="center"/>
        <w:rPr>
          <w:rFonts w:ascii="Times New Roman" w:hAnsi="Times New Roman" w:cs="Times New Roman"/>
          <w:sz w:val="24"/>
          <w:szCs w:val="24"/>
        </w:rPr>
      </w:pPr>
    </w:p>
    <w:p w14:paraId="5D7E0DE2" w14:textId="47E78EC3" w:rsidR="00087538" w:rsidRDefault="00087538" w:rsidP="00CA3863">
      <w:pPr>
        <w:spacing w:after="0"/>
        <w:jc w:val="center"/>
        <w:rPr>
          <w:rFonts w:ascii="Times New Roman" w:hAnsi="Times New Roman" w:cs="Times New Roman"/>
          <w:sz w:val="24"/>
          <w:szCs w:val="24"/>
        </w:rPr>
      </w:pPr>
    </w:p>
    <w:p w14:paraId="195CABC1" w14:textId="1335C795" w:rsidR="00087538" w:rsidRDefault="00087538" w:rsidP="00CA3863">
      <w:pPr>
        <w:spacing w:after="0"/>
        <w:jc w:val="center"/>
        <w:rPr>
          <w:rFonts w:ascii="Times New Roman" w:hAnsi="Times New Roman" w:cs="Times New Roman"/>
          <w:sz w:val="24"/>
          <w:szCs w:val="24"/>
        </w:rPr>
      </w:pPr>
    </w:p>
    <w:p w14:paraId="11366903" w14:textId="6F674F4F" w:rsidR="00087538" w:rsidRDefault="00087538" w:rsidP="00CA3863">
      <w:pPr>
        <w:spacing w:after="0"/>
        <w:jc w:val="center"/>
        <w:rPr>
          <w:rFonts w:ascii="Times New Roman" w:hAnsi="Times New Roman" w:cs="Times New Roman"/>
          <w:sz w:val="24"/>
          <w:szCs w:val="24"/>
        </w:rPr>
      </w:pPr>
    </w:p>
    <w:p w14:paraId="695A84E1" w14:textId="52EA507D" w:rsidR="00087538" w:rsidRDefault="00087538" w:rsidP="00CA3863">
      <w:pPr>
        <w:spacing w:after="0"/>
        <w:jc w:val="center"/>
        <w:rPr>
          <w:rFonts w:ascii="Times New Roman" w:hAnsi="Times New Roman" w:cs="Times New Roman"/>
          <w:sz w:val="24"/>
          <w:szCs w:val="24"/>
        </w:rPr>
      </w:pPr>
    </w:p>
    <w:p w14:paraId="021EB19E" w14:textId="6E90A495" w:rsidR="00006328" w:rsidRDefault="00006328" w:rsidP="00CA3863">
      <w:pPr>
        <w:spacing w:after="0"/>
        <w:jc w:val="center"/>
        <w:rPr>
          <w:rFonts w:ascii="Times New Roman" w:hAnsi="Times New Roman" w:cs="Times New Roman"/>
          <w:sz w:val="24"/>
          <w:szCs w:val="24"/>
        </w:rPr>
      </w:pPr>
    </w:p>
    <w:p w14:paraId="3E06CC16" w14:textId="25D03E63" w:rsidR="00006328" w:rsidRDefault="00006328" w:rsidP="00CA3863">
      <w:pPr>
        <w:spacing w:after="0"/>
        <w:jc w:val="center"/>
        <w:rPr>
          <w:rFonts w:ascii="Times New Roman" w:hAnsi="Times New Roman" w:cs="Times New Roman"/>
          <w:sz w:val="24"/>
          <w:szCs w:val="24"/>
        </w:rPr>
      </w:pPr>
    </w:p>
    <w:p w14:paraId="40F62000" w14:textId="3D367724" w:rsidR="00006328" w:rsidRDefault="00006328" w:rsidP="00CA3863">
      <w:pPr>
        <w:spacing w:after="0"/>
        <w:jc w:val="center"/>
        <w:rPr>
          <w:rFonts w:ascii="Times New Roman" w:hAnsi="Times New Roman" w:cs="Times New Roman"/>
          <w:sz w:val="24"/>
          <w:szCs w:val="24"/>
        </w:rPr>
      </w:pPr>
    </w:p>
    <w:p w14:paraId="6D85836E" w14:textId="36100D9F" w:rsidR="00006328" w:rsidRDefault="00006328" w:rsidP="00CA3863">
      <w:pPr>
        <w:spacing w:after="0"/>
        <w:jc w:val="center"/>
        <w:rPr>
          <w:rFonts w:ascii="Times New Roman" w:hAnsi="Times New Roman" w:cs="Times New Roman"/>
          <w:sz w:val="24"/>
          <w:szCs w:val="24"/>
        </w:rPr>
      </w:pPr>
    </w:p>
    <w:p w14:paraId="20E74D94" w14:textId="77777777" w:rsidR="00006328" w:rsidRPr="003002C1" w:rsidRDefault="00006328" w:rsidP="00CA3863">
      <w:pPr>
        <w:spacing w:after="0"/>
        <w:jc w:val="center"/>
        <w:rPr>
          <w:rFonts w:ascii="Times New Roman" w:hAnsi="Times New Roman" w:cs="Times New Roman"/>
          <w:sz w:val="24"/>
          <w:szCs w:val="24"/>
        </w:rPr>
      </w:pPr>
    </w:p>
    <w:p w14:paraId="605E390B" w14:textId="38A52BAC" w:rsidR="00CA3863" w:rsidRPr="003002C1" w:rsidRDefault="00E42FAB" w:rsidP="00CA386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1</w:t>
      </w:r>
      <w:r w:rsidR="006C08A0">
        <w:rPr>
          <w:rFonts w:ascii="Times New Roman" w:hAnsi="Times New Roman" w:cs="Times New Roman"/>
          <w:b/>
          <w:bCs/>
          <w:sz w:val="24"/>
          <w:szCs w:val="24"/>
        </w:rPr>
        <w:t>6</w:t>
      </w:r>
      <w:r w:rsidR="00CA3863" w:rsidRPr="003002C1">
        <w:rPr>
          <w:rFonts w:ascii="Times New Roman" w:hAnsi="Times New Roman" w:cs="Times New Roman"/>
          <w:b/>
          <w:bCs/>
          <w:sz w:val="24"/>
          <w:szCs w:val="24"/>
        </w:rPr>
        <w:t>: FTA rate by risk level for the Black population n=80</w:t>
      </w:r>
    </w:p>
    <w:p w14:paraId="19BF33A4" w14:textId="32830E02"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In </w:t>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1</w:t>
      </w:r>
      <w:r w:rsidR="006C08A0">
        <w:rPr>
          <w:rFonts w:ascii="Times New Roman" w:hAnsi="Times New Roman" w:cs="Times New Roman"/>
          <w:sz w:val="24"/>
          <w:szCs w:val="24"/>
        </w:rPr>
        <w:t>6</w:t>
      </w:r>
      <w:r w:rsidRPr="003002C1">
        <w:rPr>
          <w:rFonts w:ascii="Times New Roman" w:hAnsi="Times New Roman" w:cs="Times New Roman"/>
          <w:sz w:val="24"/>
          <w:szCs w:val="24"/>
        </w:rPr>
        <w:t xml:space="preserve">, the FTA rate distribution for individuals who are Black increased by risk level. The AUC score is .6976 suggesting that it is moderate effect to predict FTA rates by risk level for individuals who are Black. </w:t>
      </w:r>
      <w:r w:rsidRPr="003002C1">
        <w:rPr>
          <w:rFonts w:ascii="Times New Roman" w:hAnsi="Times New Roman" w:cs="Times New Roman"/>
          <w:noProof/>
          <w:sz w:val="24"/>
          <w:szCs w:val="24"/>
        </w:rPr>
        <w:drawing>
          <wp:anchor distT="0" distB="0" distL="114300" distR="114300" simplePos="0" relativeHeight="251680768" behindDoc="1" locked="0" layoutInCell="1" allowOverlap="1" wp14:anchorId="4DB269C6" wp14:editId="5090BC14">
            <wp:simplePos x="0" y="0"/>
            <wp:positionH relativeFrom="column">
              <wp:posOffset>0</wp:posOffset>
            </wp:positionH>
            <wp:positionV relativeFrom="paragraph">
              <wp:posOffset>625</wp:posOffset>
            </wp:positionV>
            <wp:extent cx="4132800" cy="3110400"/>
            <wp:effectExtent l="0" t="0" r="1270" b="13970"/>
            <wp:wrapTight wrapText="bothSides">
              <wp:wrapPolygon edited="0">
                <wp:start x="0" y="0"/>
                <wp:lineTo x="0" y="21565"/>
                <wp:lineTo x="21507" y="21565"/>
                <wp:lineTo x="21507"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72CC97B" w14:textId="77777777" w:rsidR="00CA3863" w:rsidRPr="003002C1" w:rsidRDefault="00CA3863" w:rsidP="00CA3863">
      <w:pPr>
        <w:jc w:val="center"/>
        <w:rPr>
          <w:rFonts w:ascii="Times New Roman" w:hAnsi="Times New Roman" w:cs="Times New Roman"/>
          <w:sz w:val="24"/>
          <w:szCs w:val="24"/>
        </w:rPr>
      </w:pPr>
    </w:p>
    <w:p w14:paraId="6C3A68A5" w14:textId="77777777" w:rsidR="00CA3863" w:rsidRPr="003002C1" w:rsidRDefault="00CA3863" w:rsidP="00CA3863">
      <w:pPr>
        <w:jc w:val="center"/>
        <w:rPr>
          <w:rFonts w:ascii="Times New Roman" w:hAnsi="Times New Roman" w:cs="Times New Roman"/>
          <w:sz w:val="24"/>
          <w:szCs w:val="24"/>
        </w:rPr>
      </w:pPr>
    </w:p>
    <w:p w14:paraId="17CD708A" w14:textId="77777777" w:rsidR="00CA3863" w:rsidRPr="003002C1" w:rsidRDefault="00CA3863" w:rsidP="00CA3863">
      <w:pPr>
        <w:jc w:val="center"/>
        <w:rPr>
          <w:rFonts w:ascii="Times New Roman" w:hAnsi="Times New Roman" w:cs="Times New Roman"/>
          <w:sz w:val="24"/>
          <w:szCs w:val="24"/>
        </w:rPr>
      </w:pPr>
    </w:p>
    <w:p w14:paraId="3F631581" w14:textId="77777777" w:rsidR="00CA3863" w:rsidRPr="003002C1" w:rsidRDefault="00CA3863" w:rsidP="00CA3863">
      <w:pPr>
        <w:jc w:val="center"/>
        <w:rPr>
          <w:rFonts w:ascii="Times New Roman" w:hAnsi="Times New Roman" w:cs="Times New Roman"/>
          <w:sz w:val="24"/>
          <w:szCs w:val="24"/>
        </w:rPr>
      </w:pPr>
    </w:p>
    <w:p w14:paraId="573CD89E" w14:textId="77777777" w:rsidR="00CA3863" w:rsidRPr="003002C1" w:rsidRDefault="00CA3863" w:rsidP="00CA3863">
      <w:pPr>
        <w:jc w:val="center"/>
        <w:rPr>
          <w:rFonts w:ascii="Times New Roman" w:hAnsi="Times New Roman" w:cs="Times New Roman"/>
          <w:sz w:val="24"/>
          <w:szCs w:val="24"/>
        </w:rPr>
      </w:pPr>
    </w:p>
    <w:p w14:paraId="544F0EAC" w14:textId="77777777" w:rsidR="00CA3863" w:rsidRPr="003002C1" w:rsidRDefault="00CA3863" w:rsidP="00CA3863">
      <w:pPr>
        <w:spacing w:after="0"/>
        <w:rPr>
          <w:rFonts w:ascii="Times New Roman" w:hAnsi="Times New Roman" w:cs="Times New Roman"/>
          <w:sz w:val="24"/>
          <w:szCs w:val="24"/>
        </w:rPr>
      </w:pPr>
    </w:p>
    <w:p w14:paraId="77F2BE30" w14:textId="77777777" w:rsidR="00CA3863" w:rsidRPr="003002C1" w:rsidRDefault="00CA3863" w:rsidP="006C08A0">
      <w:pPr>
        <w:spacing w:after="0"/>
        <w:rPr>
          <w:rFonts w:ascii="Times New Roman" w:hAnsi="Times New Roman" w:cs="Times New Roman"/>
          <w:sz w:val="24"/>
          <w:szCs w:val="24"/>
        </w:rPr>
      </w:pPr>
      <w:r w:rsidRPr="003002C1">
        <w:rPr>
          <w:rFonts w:ascii="Times New Roman" w:hAnsi="Times New Roman" w:cs="Times New Roman"/>
          <w:sz w:val="24"/>
          <w:szCs w:val="24"/>
        </w:rPr>
        <w:t>AUC score=.6976</w:t>
      </w:r>
    </w:p>
    <w:p w14:paraId="51146862" w14:textId="77777777" w:rsidR="00CA3863" w:rsidRPr="003002C1" w:rsidRDefault="00CA3863" w:rsidP="00CA3863">
      <w:pPr>
        <w:jc w:val="center"/>
        <w:rPr>
          <w:rFonts w:ascii="Times New Roman" w:hAnsi="Times New Roman" w:cs="Times New Roman"/>
          <w:sz w:val="24"/>
          <w:szCs w:val="24"/>
        </w:rPr>
      </w:pPr>
    </w:p>
    <w:p w14:paraId="16F54D19" w14:textId="3C9311D3" w:rsidR="00CA3863" w:rsidRPr="003002C1" w:rsidRDefault="00E42FAB" w:rsidP="00CA3863">
      <w:pPr>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1</w:t>
      </w:r>
      <w:r w:rsidR="006C08A0">
        <w:rPr>
          <w:rFonts w:ascii="Times New Roman" w:hAnsi="Times New Roman" w:cs="Times New Roman"/>
          <w:b/>
          <w:bCs/>
          <w:sz w:val="24"/>
          <w:szCs w:val="24"/>
        </w:rPr>
        <w:t>7</w:t>
      </w:r>
      <w:r w:rsidR="00CA3863" w:rsidRPr="003002C1">
        <w:rPr>
          <w:rFonts w:ascii="Times New Roman" w:hAnsi="Times New Roman" w:cs="Times New Roman"/>
          <w:b/>
          <w:bCs/>
          <w:sz w:val="24"/>
          <w:szCs w:val="24"/>
        </w:rPr>
        <w:t>: FTA rate by risk level for the Latine population n=48</w:t>
      </w:r>
    </w:p>
    <w:p w14:paraId="5B9B7539" w14:textId="5A34B6FD"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noProof/>
          <w:sz w:val="24"/>
          <w:szCs w:val="24"/>
        </w:rPr>
        <w:drawing>
          <wp:anchor distT="0" distB="0" distL="114300" distR="114300" simplePos="0" relativeHeight="251681792" behindDoc="1" locked="0" layoutInCell="1" allowOverlap="1" wp14:anchorId="5B8C1B5D" wp14:editId="29029F4B">
            <wp:simplePos x="0" y="0"/>
            <wp:positionH relativeFrom="column">
              <wp:posOffset>0</wp:posOffset>
            </wp:positionH>
            <wp:positionV relativeFrom="paragraph">
              <wp:posOffset>-2830</wp:posOffset>
            </wp:positionV>
            <wp:extent cx="4370400" cy="2887200"/>
            <wp:effectExtent l="0" t="0" r="11430" b="8890"/>
            <wp:wrapTight wrapText="bothSides">
              <wp:wrapPolygon edited="0">
                <wp:start x="0" y="0"/>
                <wp:lineTo x="0" y="21524"/>
                <wp:lineTo x="21562" y="21524"/>
                <wp:lineTo x="21562"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3002C1">
        <w:rPr>
          <w:rFonts w:ascii="Times New Roman" w:hAnsi="Times New Roman" w:cs="Times New Roman"/>
          <w:sz w:val="24"/>
          <w:szCs w:val="24"/>
        </w:rPr>
        <w:t xml:space="preserve">The FTA rates for the Latine population only steadily increase for moderate and do not increase for </w:t>
      </w:r>
      <w:r w:rsidR="000B490A">
        <w:rPr>
          <w:rFonts w:ascii="Times New Roman" w:hAnsi="Times New Roman" w:cs="Times New Roman"/>
          <w:sz w:val="24"/>
          <w:szCs w:val="24"/>
        </w:rPr>
        <w:t>high-risk</w:t>
      </w:r>
      <w:r w:rsidRPr="003002C1">
        <w:rPr>
          <w:rFonts w:ascii="Times New Roman" w:hAnsi="Times New Roman" w:cs="Times New Roman"/>
          <w:sz w:val="24"/>
          <w:szCs w:val="24"/>
        </w:rPr>
        <w:t xml:space="preserve"> level individuals. The AUC score of .5092 also indicates the risk levels for the Latine population are no better than random chance at predicting FTA. There was a statistical difference in AUC scores between white and Latine as well as Black and Latine population. This indicates that ORAS-PAT may not predict FTA as strongly for Latine people than for white and Black people. </w:t>
      </w:r>
    </w:p>
    <w:p w14:paraId="75ECEDEF" w14:textId="433C9A20" w:rsidR="00CA3863" w:rsidRDefault="00CA3863" w:rsidP="00CA3863">
      <w:pPr>
        <w:jc w:val="center"/>
        <w:rPr>
          <w:rFonts w:ascii="Times New Roman" w:hAnsi="Times New Roman" w:cs="Times New Roman"/>
          <w:sz w:val="24"/>
          <w:szCs w:val="24"/>
        </w:rPr>
      </w:pPr>
      <w:r w:rsidRPr="003002C1">
        <w:rPr>
          <w:rFonts w:ascii="Times New Roman" w:hAnsi="Times New Roman" w:cs="Times New Roman"/>
          <w:sz w:val="24"/>
          <w:szCs w:val="24"/>
        </w:rPr>
        <w:t>AUC score=.5092</w:t>
      </w:r>
    </w:p>
    <w:p w14:paraId="06F19DB0" w14:textId="77777777" w:rsidR="00C4534E" w:rsidRPr="003002C1" w:rsidRDefault="00C4534E" w:rsidP="00CA3863">
      <w:pPr>
        <w:jc w:val="center"/>
        <w:rPr>
          <w:rFonts w:ascii="Times New Roman" w:hAnsi="Times New Roman" w:cs="Times New Roman"/>
          <w:sz w:val="24"/>
          <w:szCs w:val="24"/>
        </w:rPr>
      </w:pPr>
    </w:p>
    <w:p w14:paraId="1D70EF0D" w14:textId="66F9FA7C" w:rsidR="00CA3863" w:rsidRPr="003002C1" w:rsidRDefault="00E42FAB" w:rsidP="00CA3863">
      <w:pPr>
        <w:rPr>
          <w:rFonts w:ascii="Times New Roman" w:hAnsi="Times New Roman" w:cs="Times New Roman"/>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1</w:t>
      </w:r>
      <w:r w:rsidR="00D64E7D">
        <w:rPr>
          <w:rFonts w:ascii="Times New Roman" w:hAnsi="Times New Roman" w:cs="Times New Roman"/>
          <w:b/>
          <w:bCs/>
          <w:sz w:val="24"/>
          <w:szCs w:val="24"/>
        </w:rPr>
        <w:t>8</w:t>
      </w:r>
      <w:r w:rsidR="00CA3863" w:rsidRPr="003002C1">
        <w:rPr>
          <w:rFonts w:ascii="Times New Roman" w:hAnsi="Times New Roman" w:cs="Times New Roman"/>
          <w:b/>
          <w:bCs/>
          <w:sz w:val="24"/>
          <w:szCs w:val="24"/>
        </w:rPr>
        <w:t>: FTA rate by risk level for the Asian population n=17</w:t>
      </w:r>
    </w:p>
    <w:p w14:paraId="108F77B4" w14:textId="3088B479" w:rsidR="00CA3863"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noProof/>
          <w:sz w:val="24"/>
          <w:szCs w:val="24"/>
        </w:rPr>
        <w:drawing>
          <wp:anchor distT="0" distB="0" distL="114300" distR="114300" simplePos="0" relativeHeight="251682816" behindDoc="1" locked="0" layoutInCell="1" allowOverlap="1" wp14:anchorId="64A5D849" wp14:editId="496752C5">
            <wp:simplePos x="0" y="0"/>
            <wp:positionH relativeFrom="column">
              <wp:posOffset>0</wp:posOffset>
            </wp:positionH>
            <wp:positionV relativeFrom="paragraph">
              <wp:posOffset>-90</wp:posOffset>
            </wp:positionV>
            <wp:extent cx="4255200" cy="2865600"/>
            <wp:effectExtent l="0" t="0" r="12065" b="11430"/>
            <wp:wrapTight wrapText="bothSides">
              <wp:wrapPolygon edited="0">
                <wp:start x="0" y="0"/>
                <wp:lineTo x="0" y="21543"/>
                <wp:lineTo x="21565" y="21543"/>
                <wp:lineTo x="21565"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E42FAB">
        <w:rPr>
          <w:rFonts w:ascii="Times New Roman" w:hAnsi="Times New Roman" w:cs="Times New Roman"/>
          <w:sz w:val="24"/>
          <w:szCs w:val="24"/>
        </w:rPr>
        <w:t>Figure</w:t>
      </w:r>
      <w:r w:rsidRPr="003002C1">
        <w:rPr>
          <w:rFonts w:ascii="Times New Roman" w:hAnsi="Times New Roman" w:cs="Times New Roman"/>
          <w:sz w:val="24"/>
          <w:szCs w:val="24"/>
        </w:rPr>
        <w:t xml:space="preserve"> 1</w:t>
      </w:r>
      <w:r w:rsidR="00D64E7D">
        <w:rPr>
          <w:rFonts w:ascii="Times New Roman" w:hAnsi="Times New Roman" w:cs="Times New Roman"/>
          <w:sz w:val="24"/>
          <w:szCs w:val="24"/>
        </w:rPr>
        <w:t>8</w:t>
      </w:r>
      <w:r w:rsidRPr="003002C1">
        <w:rPr>
          <w:rFonts w:ascii="Times New Roman" w:hAnsi="Times New Roman" w:cs="Times New Roman"/>
          <w:sz w:val="24"/>
          <w:szCs w:val="24"/>
        </w:rPr>
        <w:t xml:space="preserve"> illustrates that FTA rates d</w:t>
      </w:r>
      <w:r w:rsidR="00B607FE">
        <w:rPr>
          <w:rFonts w:ascii="Times New Roman" w:hAnsi="Times New Roman" w:cs="Times New Roman"/>
          <w:sz w:val="24"/>
          <w:szCs w:val="24"/>
        </w:rPr>
        <w:t>id</w:t>
      </w:r>
      <w:r w:rsidRPr="003002C1">
        <w:rPr>
          <w:rFonts w:ascii="Times New Roman" w:hAnsi="Times New Roman" w:cs="Times New Roman"/>
          <w:sz w:val="24"/>
          <w:szCs w:val="24"/>
        </w:rPr>
        <w:t xml:space="preserve"> not uniformly increase</w:t>
      </w:r>
      <w:r w:rsidR="00B607FE">
        <w:rPr>
          <w:rFonts w:ascii="Times New Roman" w:hAnsi="Times New Roman" w:cs="Times New Roman"/>
          <w:sz w:val="24"/>
          <w:szCs w:val="24"/>
        </w:rPr>
        <w:t>d</w:t>
      </w:r>
      <w:r w:rsidRPr="003002C1">
        <w:rPr>
          <w:rFonts w:ascii="Times New Roman" w:hAnsi="Times New Roman" w:cs="Times New Roman"/>
          <w:sz w:val="24"/>
          <w:szCs w:val="24"/>
        </w:rPr>
        <w:t xml:space="preserve"> as risk levels increase</w:t>
      </w:r>
      <w:r w:rsidR="00B607FE">
        <w:rPr>
          <w:rFonts w:ascii="Times New Roman" w:hAnsi="Times New Roman" w:cs="Times New Roman"/>
          <w:sz w:val="24"/>
          <w:szCs w:val="24"/>
        </w:rPr>
        <w:t>d</w:t>
      </w:r>
      <w:r w:rsidRPr="003002C1">
        <w:rPr>
          <w:rFonts w:ascii="Times New Roman" w:hAnsi="Times New Roman" w:cs="Times New Roman"/>
          <w:sz w:val="24"/>
          <w:szCs w:val="24"/>
        </w:rPr>
        <w:t>. The AUC score of .3917 suggest that FTA prediction for the Asian population is not better at predicting than by chance. There was a statistical difference in AUC scores between white and Asian people as well as Black and Asian people but not statistically significant difference with Asian and Latine people. This indicates that ORAS-PAT may not predict FTA as strongly for Asian people than for white and Black people.</w:t>
      </w:r>
    </w:p>
    <w:p w14:paraId="6AEFEDC9" w14:textId="77777777" w:rsidR="00CA3863" w:rsidRPr="003002C1" w:rsidRDefault="00CA3863" w:rsidP="00CA3863">
      <w:pPr>
        <w:jc w:val="center"/>
        <w:rPr>
          <w:rFonts w:ascii="Times New Roman" w:hAnsi="Times New Roman" w:cs="Times New Roman"/>
          <w:sz w:val="24"/>
          <w:szCs w:val="24"/>
        </w:rPr>
      </w:pPr>
      <w:r w:rsidRPr="003002C1">
        <w:rPr>
          <w:rFonts w:ascii="Times New Roman" w:hAnsi="Times New Roman" w:cs="Times New Roman"/>
          <w:sz w:val="24"/>
          <w:szCs w:val="24"/>
        </w:rPr>
        <w:t>AUC score=.3917</w:t>
      </w:r>
    </w:p>
    <w:p w14:paraId="1182171B" w14:textId="18E322A8" w:rsidR="00CA3863" w:rsidRPr="003002C1" w:rsidRDefault="00E42FAB" w:rsidP="00CA3863">
      <w:pPr>
        <w:jc w:val="center"/>
        <w:rPr>
          <w:rFonts w:ascii="Times New Roman" w:hAnsi="Times New Roman" w:cs="Times New Roman"/>
          <w:b/>
          <w:bCs/>
          <w:sz w:val="24"/>
          <w:szCs w:val="24"/>
        </w:rPr>
      </w:pPr>
      <w:r>
        <w:rPr>
          <w:rFonts w:ascii="Times New Roman" w:hAnsi="Times New Roman" w:cs="Times New Roman"/>
          <w:b/>
          <w:bCs/>
          <w:sz w:val="24"/>
          <w:szCs w:val="24"/>
        </w:rPr>
        <w:t>Figure</w:t>
      </w:r>
      <w:r w:rsidR="00CA3863" w:rsidRPr="003002C1">
        <w:rPr>
          <w:rFonts w:ascii="Times New Roman" w:hAnsi="Times New Roman" w:cs="Times New Roman"/>
          <w:b/>
          <w:bCs/>
          <w:sz w:val="24"/>
          <w:szCs w:val="24"/>
        </w:rPr>
        <w:t xml:space="preserve"> 1</w:t>
      </w:r>
      <w:r w:rsidR="009F33E6">
        <w:rPr>
          <w:rFonts w:ascii="Times New Roman" w:hAnsi="Times New Roman" w:cs="Times New Roman"/>
          <w:b/>
          <w:bCs/>
          <w:sz w:val="24"/>
          <w:szCs w:val="24"/>
        </w:rPr>
        <w:t>9</w:t>
      </w:r>
      <w:r w:rsidR="00CA3863" w:rsidRPr="003002C1">
        <w:rPr>
          <w:rFonts w:ascii="Times New Roman" w:hAnsi="Times New Roman" w:cs="Times New Roman"/>
          <w:b/>
          <w:bCs/>
          <w:sz w:val="24"/>
          <w:szCs w:val="24"/>
        </w:rPr>
        <w:t>: FTA rate by risk level for the female population n=43</w:t>
      </w:r>
    </w:p>
    <w:p w14:paraId="46BD2D9E" w14:textId="77777777" w:rsidR="00CA3863" w:rsidRPr="003002C1" w:rsidRDefault="00CA3863" w:rsidP="00CA3863">
      <w:pPr>
        <w:jc w:val="center"/>
        <w:rPr>
          <w:rFonts w:ascii="Times New Roman" w:hAnsi="Times New Roman" w:cs="Times New Roman"/>
          <w:sz w:val="24"/>
          <w:szCs w:val="24"/>
        </w:rPr>
      </w:pPr>
      <w:r w:rsidRPr="003002C1">
        <w:rPr>
          <w:rFonts w:ascii="Times New Roman" w:hAnsi="Times New Roman" w:cs="Times New Roman"/>
          <w:noProof/>
          <w:sz w:val="24"/>
          <w:szCs w:val="24"/>
        </w:rPr>
        <w:drawing>
          <wp:inline distT="0" distB="0" distL="0" distR="0" wp14:anchorId="1BDF18C6" wp14:editId="58C6292A">
            <wp:extent cx="4752000" cy="3002400"/>
            <wp:effectExtent l="0" t="0" r="1079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28BD2D3" w14:textId="11DC939E" w:rsidR="00CA3863" w:rsidRDefault="00CA3863" w:rsidP="00CA3863">
      <w:pPr>
        <w:jc w:val="center"/>
        <w:rPr>
          <w:rFonts w:ascii="Times New Roman" w:hAnsi="Times New Roman" w:cs="Times New Roman"/>
          <w:sz w:val="24"/>
          <w:szCs w:val="24"/>
        </w:rPr>
      </w:pPr>
      <w:r w:rsidRPr="003002C1">
        <w:rPr>
          <w:rFonts w:ascii="Times New Roman" w:hAnsi="Times New Roman" w:cs="Times New Roman"/>
          <w:sz w:val="24"/>
          <w:szCs w:val="24"/>
        </w:rPr>
        <w:t>AUC score=.7026</w:t>
      </w:r>
    </w:p>
    <w:p w14:paraId="5617D270" w14:textId="77777777" w:rsidR="004E5827" w:rsidRPr="003002C1" w:rsidRDefault="004E5827" w:rsidP="00CA3863">
      <w:pPr>
        <w:jc w:val="center"/>
        <w:rPr>
          <w:rFonts w:ascii="Times New Roman" w:hAnsi="Times New Roman" w:cs="Times New Roman"/>
          <w:sz w:val="24"/>
          <w:szCs w:val="24"/>
        </w:rPr>
      </w:pPr>
    </w:p>
    <w:p w14:paraId="2923CCFC" w14:textId="2EB7E8BB" w:rsidR="00CA3863" w:rsidRPr="003002C1" w:rsidRDefault="00E42FAB" w:rsidP="00CA386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Figure</w:t>
      </w:r>
      <w:r w:rsidR="00CA3863" w:rsidRPr="003002C1">
        <w:rPr>
          <w:rFonts w:ascii="Times New Roman" w:hAnsi="Times New Roman" w:cs="Times New Roman"/>
          <w:b/>
          <w:bCs/>
          <w:sz w:val="24"/>
          <w:szCs w:val="24"/>
        </w:rPr>
        <w:t xml:space="preserve"> </w:t>
      </w:r>
      <w:r w:rsidR="009F33E6">
        <w:rPr>
          <w:rFonts w:ascii="Times New Roman" w:hAnsi="Times New Roman" w:cs="Times New Roman"/>
          <w:b/>
          <w:bCs/>
          <w:sz w:val="24"/>
          <w:szCs w:val="24"/>
        </w:rPr>
        <w:t>20</w:t>
      </w:r>
      <w:r w:rsidR="00CA3863" w:rsidRPr="003002C1">
        <w:rPr>
          <w:rFonts w:ascii="Times New Roman" w:hAnsi="Times New Roman" w:cs="Times New Roman"/>
          <w:b/>
          <w:bCs/>
          <w:sz w:val="24"/>
          <w:szCs w:val="24"/>
        </w:rPr>
        <w:t>: FTA rate by risk level for the male population n=155</w:t>
      </w:r>
    </w:p>
    <w:p w14:paraId="5D7B9B57" w14:textId="77777777" w:rsidR="00CA3863" w:rsidRPr="003002C1" w:rsidRDefault="00CA3863" w:rsidP="00CA3863">
      <w:pPr>
        <w:jc w:val="center"/>
        <w:rPr>
          <w:rFonts w:ascii="Times New Roman" w:hAnsi="Times New Roman" w:cs="Times New Roman"/>
          <w:sz w:val="24"/>
          <w:szCs w:val="24"/>
        </w:rPr>
      </w:pPr>
      <w:r w:rsidRPr="003002C1">
        <w:rPr>
          <w:rFonts w:ascii="Times New Roman" w:hAnsi="Times New Roman" w:cs="Times New Roman"/>
          <w:noProof/>
          <w:sz w:val="24"/>
          <w:szCs w:val="24"/>
        </w:rPr>
        <w:drawing>
          <wp:inline distT="0" distB="0" distL="0" distR="0" wp14:anchorId="452603CE" wp14:editId="5E6CBD9E">
            <wp:extent cx="4705350" cy="27813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0A6C3D" w14:textId="77777777" w:rsidR="00645D18" w:rsidRDefault="00CA3863" w:rsidP="005E343A">
      <w:pPr>
        <w:jc w:val="center"/>
        <w:rPr>
          <w:rFonts w:ascii="Times New Roman" w:hAnsi="Times New Roman" w:cs="Times New Roman"/>
          <w:sz w:val="24"/>
          <w:szCs w:val="24"/>
        </w:rPr>
      </w:pPr>
      <w:r w:rsidRPr="003002C1">
        <w:rPr>
          <w:rFonts w:ascii="Times New Roman" w:hAnsi="Times New Roman" w:cs="Times New Roman"/>
          <w:sz w:val="24"/>
          <w:szCs w:val="24"/>
        </w:rPr>
        <w:t>AUC score=.6061</w:t>
      </w:r>
    </w:p>
    <w:p w14:paraId="17685474" w14:textId="35156B33" w:rsidR="00CA3863" w:rsidRPr="003002C1" w:rsidRDefault="00E42FAB" w:rsidP="00645D18">
      <w:pPr>
        <w:jc w:val="both"/>
        <w:rPr>
          <w:rFonts w:ascii="Times New Roman" w:hAnsi="Times New Roman" w:cs="Times New Roman"/>
          <w:sz w:val="24"/>
          <w:szCs w:val="24"/>
        </w:rPr>
      </w:pPr>
      <w:r>
        <w:rPr>
          <w:rFonts w:ascii="Times New Roman" w:hAnsi="Times New Roman" w:cs="Times New Roman"/>
          <w:sz w:val="24"/>
          <w:szCs w:val="24"/>
        </w:rPr>
        <w:t>Figure</w:t>
      </w:r>
      <w:r w:rsidR="00CA3863" w:rsidRPr="003002C1">
        <w:rPr>
          <w:rFonts w:ascii="Times New Roman" w:hAnsi="Times New Roman" w:cs="Times New Roman"/>
          <w:sz w:val="24"/>
          <w:szCs w:val="24"/>
        </w:rPr>
        <w:t>s 1</w:t>
      </w:r>
      <w:r w:rsidR="00CC5D8F">
        <w:rPr>
          <w:rFonts w:ascii="Times New Roman" w:hAnsi="Times New Roman" w:cs="Times New Roman"/>
          <w:sz w:val="24"/>
          <w:szCs w:val="24"/>
        </w:rPr>
        <w:t>9</w:t>
      </w:r>
      <w:r w:rsidR="00CA3863" w:rsidRPr="003002C1">
        <w:rPr>
          <w:rFonts w:ascii="Times New Roman" w:hAnsi="Times New Roman" w:cs="Times New Roman"/>
          <w:sz w:val="24"/>
          <w:szCs w:val="24"/>
        </w:rPr>
        <w:t xml:space="preserve"> and </w:t>
      </w:r>
      <w:r w:rsidR="00CC5D8F">
        <w:rPr>
          <w:rFonts w:ascii="Times New Roman" w:hAnsi="Times New Roman" w:cs="Times New Roman"/>
          <w:sz w:val="24"/>
          <w:szCs w:val="24"/>
        </w:rPr>
        <w:t>20</w:t>
      </w:r>
      <w:r w:rsidR="00CA3863" w:rsidRPr="003002C1">
        <w:rPr>
          <w:rFonts w:ascii="Times New Roman" w:hAnsi="Times New Roman" w:cs="Times New Roman"/>
          <w:sz w:val="24"/>
          <w:szCs w:val="24"/>
        </w:rPr>
        <w:t xml:space="preserve"> illustrate the FTA rates by risk level for females (n=43) and males (n=155). For both females and males, the FTA rate increase</w:t>
      </w:r>
      <w:r w:rsidR="002100ED">
        <w:rPr>
          <w:rFonts w:ascii="Times New Roman" w:hAnsi="Times New Roman" w:cs="Times New Roman"/>
          <w:sz w:val="24"/>
          <w:szCs w:val="24"/>
        </w:rPr>
        <w:t>d</w:t>
      </w:r>
      <w:r w:rsidR="00CA3863" w:rsidRPr="003002C1">
        <w:rPr>
          <w:rFonts w:ascii="Times New Roman" w:hAnsi="Times New Roman" w:cs="Times New Roman"/>
          <w:sz w:val="24"/>
          <w:szCs w:val="24"/>
        </w:rPr>
        <w:t xml:space="preserve"> as risk levels increase</w:t>
      </w:r>
      <w:r w:rsidR="002100ED">
        <w:rPr>
          <w:rFonts w:ascii="Times New Roman" w:hAnsi="Times New Roman" w:cs="Times New Roman"/>
          <w:sz w:val="24"/>
          <w:szCs w:val="24"/>
        </w:rPr>
        <w:t>d</w:t>
      </w:r>
      <w:r w:rsidR="00CA3863" w:rsidRPr="003002C1">
        <w:rPr>
          <w:rFonts w:ascii="Times New Roman" w:hAnsi="Times New Roman" w:cs="Times New Roman"/>
          <w:sz w:val="24"/>
          <w:szCs w:val="24"/>
        </w:rPr>
        <w:t xml:space="preserve">. In addition, the AUC score for females is .7026 a strong predictive effect, while for males, it is .6061, a medium predictive effect. There was no statistical difference between females and males, suggesting no predictive bias in terms of gender. </w:t>
      </w:r>
    </w:p>
    <w:p w14:paraId="2A4F41FD" w14:textId="6CE5508A" w:rsidR="00533564" w:rsidRDefault="00CA3863" w:rsidP="00CA3863">
      <w:pPr>
        <w:jc w:val="both"/>
        <w:rPr>
          <w:rFonts w:ascii="Times New Roman" w:hAnsi="Times New Roman" w:cs="Times New Roman"/>
          <w:sz w:val="24"/>
          <w:szCs w:val="24"/>
        </w:rPr>
      </w:pPr>
      <w:r w:rsidRPr="003D44B7">
        <w:rPr>
          <w:rFonts w:ascii="Times New Roman" w:hAnsi="Times New Roman" w:cs="Times New Roman"/>
          <w:sz w:val="24"/>
          <w:szCs w:val="24"/>
        </w:rPr>
        <w:t>The previous models examined predictive bias and the prediction of the likelihood of FTA. It is also essential to test disparate impact across racial, ethnic, and gender groups. Drawing from (Skeem &amp; Lowenkamp, 2016; Barno</w:t>
      </w:r>
      <w:r w:rsidR="006A2C2F">
        <w:rPr>
          <w:rFonts w:ascii="Times New Roman" w:hAnsi="Times New Roman" w:cs="Times New Roman"/>
          <w:sz w:val="24"/>
          <w:szCs w:val="24"/>
        </w:rPr>
        <w:t>,</w:t>
      </w:r>
      <w:r w:rsidRPr="003D44B7">
        <w:rPr>
          <w:rFonts w:ascii="Times New Roman" w:hAnsi="Times New Roman" w:cs="Times New Roman"/>
          <w:sz w:val="24"/>
          <w:szCs w:val="24"/>
        </w:rPr>
        <w:t xml:space="preserve"> Williams</w:t>
      </w:r>
      <w:r w:rsidR="006A2C2F">
        <w:rPr>
          <w:rFonts w:ascii="Times New Roman" w:hAnsi="Times New Roman" w:cs="Times New Roman"/>
          <w:sz w:val="24"/>
          <w:szCs w:val="24"/>
        </w:rPr>
        <w:t>,</w:t>
      </w:r>
      <w:r w:rsidRPr="003D44B7">
        <w:rPr>
          <w:rFonts w:ascii="Times New Roman" w:hAnsi="Times New Roman" w:cs="Times New Roman"/>
          <w:sz w:val="24"/>
          <w:szCs w:val="24"/>
        </w:rPr>
        <w:t xml:space="preserve"> &amp; Nevárez Martínez, 2019), disparate impact is measured by the difference in means scores of risks. A statistical difference in mean scores could potentially impact more restrictive conditions on pretrial release. There were no statistical differences in mean scores between males and females for the population released under pretrial supervision. There were no statistical differences in mean scores for white, Black, Asian, or Native American people released on pretrial supervision. The results</w:t>
      </w:r>
      <w:r w:rsidR="006448FF">
        <w:rPr>
          <w:rFonts w:ascii="Times New Roman" w:hAnsi="Times New Roman" w:cs="Times New Roman"/>
          <w:sz w:val="24"/>
          <w:szCs w:val="24"/>
        </w:rPr>
        <w:t xml:space="preserve"> in </w:t>
      </w:r>
      <w:r w:rsidR="00E65A98">
        <w:rPr>
          <w:rFonts w:ascii="Times New Roman" w:hAnsi="Times New Roman" w:cs="Times New Roman"/>
          <w:sz w:val="24"/>
          <w:szCs w:val="24"/>
        </w:rPr>
        <w:t>Table</w:t>
      </w:r>
      <w:r w:rsidR="006448FF">
        <w:rPr>
          <w:rFonts w:ascii="Times New Roman" w:hAnsi="Times New Roman" w:cs="Times New Roman"/>
          <w:sz w:val="24"/>
          <w:szCs w:val="24"/>
        </w:rPr>
        <w:t xml:space="preserve"> 22</w:t>
      </w:r>
      <w:r w:rsidRPr="003D44B7">
        <w:rPr>
          <w:rFonts w:ascii="Times New Roman" w:hAnsi="Times New Roman" w:cs="Times New Roman"/>
          <w:sz w:val="24"/>
          <w:szCs w:val="24"/>
        </w:rPr>
        <w:t xml:space="preserve"> showed that risk scores given to Latine statistically differ t (97) = 1 .9925, p=.049</w:t>
      </w:r>
      <w:r>
        <w:rPr>
          <w:rFonts w:ascii="Times New Roman" w:hAnsi="Times New Roman" w:cs="Times New Roman"/>
          <w:sz w:val="24"/>
          <w:szCs w:val="24"/>
        </w:rPr>
        <w:t xml:space="preserve">1 compared to the white population. </w:t>
      </w:r>
      <w:r w:rsidRPr="003D44B7">
        <w:rPr>
          <w:rFonts w:ascii="Times New Roman" w:hAnsi="Times New Roman" w:cs="Times New Roman"/>
          <w:sz w:val="24"/>
          <w:szCs w:val="24"/>
        </w:rPr>
        <w:t xml:space="preserve">There was a statistical difference in mean scores for Latine people compared to white individuals. </w:t>
      </w:r>
      <w:r w:rsidR="00717963">
        <w:rPr>
          <w:rFonts w:ascii="Times New Roman" w:hAnsi="Times New Roman" w:cs="Times New Roman"/>
          <w:sz w:val="24"/>
          <w:szCs w:val="24"/>
        </w:rPr>
        <w:t>T</w:t>
      </w:r>
      <w:r w:rsidRPr="003D44B7">
        <w:rPr>
          <w:rFonts w:ascii="Times New Roman" w:hAnsi="Times New Roman" w:cs="Times New Roman"/>
          <w:sz w:val="24"/>
          <w:szCs w:val="24"/>
        </w:rPr>
        <w:t>he score for Latine is lower</w:t>
      </w:r>
      <w:r w:rsidR="00590734">
        <w:rPr>
          <w:rFonts w:ascii="Times New Roman" w:hAnsi="Times New Roman" w:cs="Times New Roman"/>
          <w:sz w:val="24"/>
          <w:szCs w:val="24"/>
        </w:rPr>
        <w:t xml:space="preserve"> for those released which might suggest that the Latine population is released with a mean score of three while others have higher risk scores who are released</w:t>
      </w:r>
      <w:r w:rsidRPr="003D44B7">
        <w:rPr>
          <w:rFonts w:ascii="Times New Roman" w:hAnsi="Times New Roman" w:cs="Times New Roman"/>
          <w:sz w:val="24"/>
          <w:szCs w:val="24"/>
        </w:rPr>
        <w:t xml:space="preserve">. Further analysis needs to take place to assess the reason for the difference in mean score. </w:t>
      </w:r>
    </w:p>
    <w:p w14:paraId="7DDC228D" w14:textId="012CC95B" w:rsidR="00CA3863" w:rsidRDefault="00CA3863" w:rsidP="00CA3863">
      <w:pPr>
        <w:jc w:val="both"/>
        <w:rPr>
          <w:rFonts w:ascii="Times New Roman" w:hAnsi="Times New Roman" w:cs="Times New Roman"/>
          <w:sz w:val="24"/>
          <w:szCs w:val="24"/>
        </w:rPr>
      </w:pPr>
      <w:r w:rsidRPr="003D44B7">
        <w:rPr>
          <w:rFonts w:ascii="Times New Roman" w:hAnsi="Times New Roman" w:cs="Times New Roman"/>
          <w:sz w:val="24"/>
          <w:szCs w:val="24"/>
        </w:rPr>
        <w:t xml:space="preserve">Testing for disparate impact should also include the entire population assessed. </w:t>
      </w:r>
      <w:r w:rsidR="00E65A98">
        <w:rPr>
          <w:rFonts w:ascii="Times New Roman" w:hAnsi="Times New Roman" w:cs="Times New Roman"/>
          <w:sz w:val="24"/>
          <w:szCs w:val="24"/>
        </w:rPr>
        <w:t>Table</w:t>
      </w:r>
      <w:r w:rsidRPr="003D44B7">
        <w:rPr>
          <w:rFonts w:ascii="Times New Roman" w:hAnsi="Times New Roman" w:cs="Times New Roman"/>
          <w:sz w:val="24"/>
          <w:szCs w:val="24"/>
        </w:rPr>
        <w:t xml:space="preserve"> </w:t>
      </w:r>
      <w:r w:rsidR="00415567">
        <w:rPr>
          <w:rFonts w:ascii="Times New Roman" w:hAnsi="Times New Roman" w:cs="Times New Roman"/>
          <w:sz w:val="24"/>
          <w:szCs w:val="24"/>
        </w:rPr>
        <w:t>2</w:t>
      </w:r>
      <w:r w:rsidR="003F7C99">
        <w:rPr>
          <w:rFonts w:ascii="Times New Roman" w:hAnsi="Times New Roman" w:cs="Times New Roman"/>
          <w:sz w:val="24"/>
          <w:szCs w:val="24"/>
        </w:rPr>
        <w:t>3</w:t>
      </w:r>
      <w:r w:rsidRPr="003D44B7">
        <w:rPr>
          <w:rFonts w:ascii="Times New Roman" w:hAnsi="Times New Roman" w:cs="Times New Roman"/>
          <w:sz w:val="24"/>
          <w:szCs w:val="24"/>
        </w:rPr>
        <w:t xml:space="preserve"> illustrates the mean score of risk for race, ethnicity, and gender comparison. In </w:t>
      </w:r>
      <w:r w:rsidR="00E65A98">
        <w:rPr>
          <w:rFonts w:ascii="Times New Roman" w:hAnsi="Times New Roman" w:cs="Times New Roman"/>
          <w:sz w:val="24"/>
          <w:szCs w:val="24"/>
        </w:rPr>
        <w:t>Table</w:t>
      </w:r>
      <w:r w:rsidRPr="003D44B7">
        <w:rPr>
          <w:rFonts w:ascii="Times New Roman" w:hAnsi="Times New Roman" w:cs="Times New Roman"/>
          <w:sz w:val="24"/>
          <w:szCs w:val="24"/>
        </w:rPr>
        <w:t xml:space="preserve"> </w:t>
      </w:r>
      <w:r w:rsidR="00A93397">
        <w:rPr>
          <w:rFonts w:ascii="Times New Roman" w:hAnsi="Times New Roman" w:cs="Times New Roman"/>
          <w:sz w:val="24"/>
          <w:szCs w:val="24"/>
        </w:rPr>
        <w:t>23</w:t>
      </w:r>
      <w:r w:rsidRPr="003D44B7">
        <w:rPr>
          <w:rFonts w:ascii="Times New Roman" w:hAnsi="Times New Roman" w:cs="Times New Roman"/>
          <w:sz w:val="24"/>
          <w:szCs w:val="24"/>
        </w:rPr>
        <w:t xml:space="preserve">, all individuals, including those denied released, are included. </w:t>
      </w:r>
      <w:r w:rsidR="009D2323">
        <w:rPr>
          <w:rFonts w:ascii="Times New Roman" w:hAnsi="Times New Roman" w:cs="Times New Roman"/>
          <w:sz w:val="24"/>
          <w:szCs w:val="24"/>
        </w:rPr>
        <w:t>It was</w:t>
      </w:r>
      <w:r w:rsidRPr="003D44B7">
        <w:rPr>
          <w:rFonts w:ascii="Times New Roman" w:hAnsi="Times New Roman" w:cs="Times New Roman"/>
          <w:sz w:val="24"/>
          <w:szCs w:val="24"/>
        </w:rPr>
        <w:t xml:space="preserve"> observe</w:t>
      </w:r>
      <w:r w:rsidR="009D2323">
        <w:rPr>
          <w:rFonts w:ascii="Times New Roman" w:hAnsi="Times New Roman" w:cs="Times New Roman"/>
          <w:sz w:val="24"/>
          <w:szCs w:val="24"/>
        </w:rPr>
        <w:t>d</w:t>
      </w:r>
      <w:r w:rsidRPr="003D44B7">
        <w:rPr>
          <w:rFonts w:ascii="Times New Roman" w:hAnsi="Times New Roman" w:cs="Times New Roman"/>
          <w:sz w:val="24"/>
          <w:szCs w:val="24"/>
        </w:rPr>
        <w:t xml:space="preserve"> that the mean risk scores for all assessed compared to those released are slightly higher. </w:t>
      </w:r>
      <w:r w:rsidR="00C125F5">
        <w:rPr>
          <w:rFonts w:ascii="Times New Roman" w:hAnsi="Times New Roman" w:cs="Times New Roman"/>
          <w:sz w:val="24"/>
          <w:szCs w:val="24"/>
        </w:rPr>
        <w:t xml:space="preserve"> </w:t>
      </w:r>
      <w:r w:rsidR="00D330B3">
        <w:rPr>
          <w:rFonts w:ascii="Times New Roman" w:hAnsi="Times New Roman" w:cs="Times New Roman"/>
          <w:sz w:val="24"/>
          <w:szCs w:val="24"/>
        </w:rPr>
        <w:t>Black individuals</w:t>
      </w:r>
      <w:bookmarkStart w:id="1" w:name="_GoBack"/>
      <w:bookmarkEnd w:id="1"/>
      <w:r w:rsidR="001C6A9E">
        <w:rPr>
          <w:rFonts w:ascii="Times New Roman" w:hAnsi="Times New Roman" w:cs="Times New Roman"/>
          <w:sz w:val="24"/>
          <w:szCs w:val="24"/>
        </w:rPr>
        <w:t xml:space="preserve">, Asians, Native Americans, white or other </w:t>
      </w:r>
      <w:r w:rsidR="00C125F5">
        <w:rPr>
          <w:rFonts w:ascii="Times New Roman" w:hAnsi="Times New Roman" w:cs="Times New Roman"/>
          <w:sz w:val="24"/>
          <w:szCs w:val="24"/>
        </w:rPr>
        <w:t xml:space="preserve">did not have a statistical difference for the mean score. </w:t>
      </w:r>
      <w:r w:rsidRPr="003D44B7">
        <w:rPr>
          <w:rFonts w:ascii="Times New Roman" w:hAnsi="Times New Roman" w:cs="Times New Roman"/>
          <w:sz w:val="24"/>
          <w:szCs w:val="24"/>
        </w:rPr>
        <w:t xml:space="preserve">An independent t-test was run on a sample of 281 individuals to determine if there were differences in risk scores </w:t>
      </w:r>
      <w:r w:rsidRPr="003D44B7">
        <w:rPr>
          <w:rFonts w:ascii="Times New Roman" w:hAnsi="Times New Roman" w:cs="Times New Roman"/>
          <w:sz w:val="24"/>
          <w:szCs w:val="24"/>
        </w:rPr>
        <w:lastRenderedPageBreak/>
        <w:t>for Latine and white individuals. The results showed that risk scores were given to Latine statistically differ t (279) = 2.8251, p=.0051 for all assessed populations</w:t>
      </w:r>
      <w:r w:rsidR="00123A05">
        <w:rPr>
          <w:rFonts w:ascii="Times New Roman" w:hAnsi="Times New Roman" w:cs="Times New Roman"/>
          <w:sz w:val="24"/>
          <w:szCs w:val="24"/>
        </w:rPr>
        <w:t xml:space="preserve"> meaning there could be </w:t>
      </w:r>
      <w:r w:rsidR="005011FD">
        <w:rPr>
          <w:rFonts w:ascii="Times New Roman" w:hAnsi="Times New Roman" w:cs="Times New Roman"/>
          <w:sz w:val="24"/>
          <w:szCs w:val="24"/>
        </w:rPr>
        <w:t>disparate impact</w:t>
      </w:r>
      <w:r w:rsidR="00123A05">
        <w:rPr>
          <w:rFonts w:ascii="Times New Roman" w:hAnsi="Times New Roman" w:cs="Times New Roman"/>
          <w:sz w:val="24"/>
          <w:szCs w:val="24"/>
        </w:rPr>
        <w:t xml:space="preserve">. </w:t>
      </w:r>
    </w:p>
    <w:p w14:paraId="01267C2E" w14:textId="5964FB55" w:rsidR="00CA3863" w:rsidRPr="003002C1" w:rsidRDefault="00E65A98" w:rsidP="00CA3863">
      <w:pPr>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415567">
        <w:rPr>
          <w:rFonts w:ascii="Times New Roman" w:hAnsi="Times New Roman" w:cs="Times New Roman"/>
          <w:b/>
          <w:bCs/>
          <w:sz w:val="24"/>
          <w:szCs w:val="24"/>
        </w:rPr>
        <w:t>22</w:t>
      </w:r>
      <w:r w:rsidR="00CA3863" w:rsidRPr="003002C1">
        <w:rPr>
          <w:rFonts w:ascii="Times New Roman" w:hAnsi="Times New Roman" w:cs="Times New Roman"/>
          <w:b/>
          <w:bCs/>
          <w:sz w:val="24"/>
          <w:szCs w:val="24"/>
        </w:rPr>
        <w:t>: Disparate impact: risk scores on those released under pretrial supervision (n=198)</w:t>
      </w:r>
    </w:p>
    <w:tbl>
      <w:tblPr>
        <w:tblStyle w:val="TableGrid"/>
        <w:tblW w:w="0" w:type="auto"/>
        <w:tblLook w:val="04A0" w:firstRow="1" w:lastRow="0" w:firstColumn="1" w:lastColumn="0" w:noHBand="0" w:noVBand="1"/>
      </w:tblPr>
      <w:tblGrid>
        <w:gridCol w:w="787"/>
        <w:gridCol w:w="992"/>
        <w:gridCol w:w="1064"/>
        <w:gridCol w:w="876"/>
        <w:gridCol w:w="1165"/>
        <w:gridCol w:w="986"/>
        <w:gridCol w:w="1073"/>
        <w:gridCol w:w="1517"/>
        <w:gridCol w:w="890"/>
      </w:tblGrid>
      <w:tr w:rsidR="0058427F" w:rsidRPr="003002C1" w14:paraId="5273641C" w14:textId="77777777" w:rsidTr="00ED6213">
        <w:tc>
          <w:tcPr>
            <w:tcW w:w="9350" w:type="dxa"/>
            <w:gridSpan w:val="9"/>
          </w:tcPr>
          <w:p w14:paraId="2C40F13C" w14:textId="1C34C035" w:rsidR="0058427F" w:rsidRPr="003002C1" w:rsidRDefault="0058427F" w:rsidP="00A07AC4">
            <w:pPr>
              <w:jc w:val="both"/>
              <w:rPr>
                <w:rFonts w:ascii="Times New Roman" w:hAnsi="Times New Roman" w:cs="Times New Roman"/>
              </w:rPr>
            </w:pPr>
            <w:r w:rsidRPr="003002C1">
              <w:rPr>
                <w:rFonts w:ascii="Times New Roman" w:hAnsi="Times New Roman" w:cs="Times New Roman"/>
              </w:rPr>
              <w:t>Mean Risk Scores</w:t>
            </w:r>
          </w:p>
        </w:tc>
      </w:tr>
      <w:tr w:rsidR="00CA3863" w:rsidRPr="003002C1" w14:paraId="19B7FEA5" w14:textId="77777777" w:rsidTr="0058427F">
        <w:tc>
          <w:tcPr>
            <w:tcW w:w="787" w:type="dxa"/>
          </w:tcPr>
          <w:p w14:paraId="2FD473CB" w14:textId="77777777" w:rsidR="00CA3863" w:rsidRPr="003002C1" w:rsidRDefault="00CA3863" w:rsidP="00A07AC4">
            <w:pPr>
              <w:jc w:val="both"/>
              <w:rPr>
                <w:rFonts w:ascii="Times New Roman" w:hAnsi="Times New Roman" w:cs="Times New Roman"/>
              </w:rPr>
            </w:pPr>
          </w:p>
        </w:tc>
        <w:tc>
          <w:tcPr>
            <w:tcW w:w="992" w:type="dxa"/>
          </w:tcPr>
          <w:p w14:paraId="046B02A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Males</w:t>
            </w:r>
          </w:p>
          <w:p w14:paraId="1850595E"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(n=155)</w:t>
            </w:r>
          </w:p>
        </w:tc>
        <w:tc>
          <w:tcPr>
            <w:tcW w:w="1064" w:type="dxa"/>
          </w:tcPr>
          <w:p w14:paraId="5D81293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Females</w:t>
            </w:r>
          </w:p>
          <w:p w14:paraId="3F15FF9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(n=43)</w:t>
            </w:r>
          </w:p>
        </w:tc>
        <w:tc>
          <w:tcPr>
            <w:tcW w:w="876" w:type="dxa"/>
          </w:tcPr>
          <w:p w14:paraId="49FA0B1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White </w:t>
            </w:r>
          </w:p>
          <w:p w14:paraId="1888015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(n=51)</w:t>
            </w:r>
          </w:p>
        </w:tc>
        <w:tc>
          <w:tcPr>
            <w:tcW w:w="1165" w:type="dxa"/>
          </w:tcPr>
          <w:p w14:paraId="34A74E5A"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Black</w:t>
            </w:r>
          </w:p>
          <w:p w14:paraId="1175A8F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(n=80)</w:t>
            </w:r>
          </w:p>
        </w:tc>
        <w:tc>
          <w:tcPr>
            <w:tcW w:w="986" w:type="dxa"/>
          </w:tcPr>
          <w:p w14:paraId="69DEDBA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Latine</w:t>
            </w:r>
          </w:p>
          <w:p w14:paraId="259D4EB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(n=48) </w:t>
            </w:r>
          </w:p>
        </w:tc>
        <w:tc>
          <w:tcPr>
            <w:tcW w:w="1073" w:type="dxa"/>
          </w:tcPr>
          <w:p w14:paraId="1EE0988C"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Asian</w:t>
            </w:r>
          </w:p>
          <w:p w14:paraId="2948E7D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(n=17)</w:t>
            </w:r>
          </w:p>
        </w:tc>
        <w:tc>
          <w:tcPr>
            <w:tcW w:w="1517" w:type="dxa"/>
          </w:tcPr>
          <w:p w14:paraId="6CF2C053"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Native American</w:t>
            </w:r>
          </w:p>
          <w:p w14:paraId="37C92A36"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(1) </w:t>
            </w:r>
          </w:p>
        </w:tc>
        <w:tc>
          <w:tcPr>
            <w:tcW w:w="890" w:type="dxa"/>
          </w:tcPr>
          <w:p w14:paraId="3B652F6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Other </w:t>
            </w:r>
          </w:p>
          <w:p w14:paraId="33D8A82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w:t>
            </w:r>
          </w:p>
        </w:tc>
      </w:tr>
      <w:tr w:rsidR="00CA3863" w:rsidRPr="003002C1" w14:paraId="7178F548" w14:textId="77777777" w:rsidTr="0058427F">
        <w:tc>
          <w:tcPr>
            <w:tcW w:w="787" w:type="dxa"/>
          </w:tcPr>
          <w:p w14:paraId="42B0B9F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w:t>
            </w:r>
          </w:p>
        </w:tc>
        <w:tc>
          <w:tcPr>
            <w:tcW w:w="992" w:type="dxa"/>
          </w:tcPr>
          <w:p w14:paraId="10D9F64B"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4.0645</w:t>
            </w:r>
          </w:p>
        </w:tc>
        <w:tc>
          <w:tcPr>
            <w:tcW w:w="1064" w:type="dxa"/>
          </w:tcPr>
          <w:p w14:paraId="14CA676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4.4651</w:t>
            </w:r>
          </w:p>
        </w:tc>
        <w:tc>
          <w:tcPr>
            <w:tcW w:w="876" w:type="dxa"/>
          </w:tcPr>
          <w:p w14:paraId="33EC965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4.4705</w:t>
            </w:r>
          </w:p>
        </w:tc>
        <w:tc>
          <w:tcPr>
            <w:tcW w:w="1165" w:type="dxa"/>
          </w:tcPr>
          <w:p w14:paraId="1650072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4.2625</w:t>
            </w:r>
          </w:p>
        </w:tc>
        <w:tc>
          <w:tcPr>
            <w:tcW w:w="986" w:type="dxa"/>
          </w:tcPr>
          <w:p w14:paraId="172F5FE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3.75</w:t>
            </w:r>
          </w:p>
        </w:tc>
        <w:tc>
          <w:tcPr>
            <w:tcW w:w="1073" w:type="dxa"/>
          </w:tcPr>
          <w:p w14:paraId="0F7FCB23"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w:t>
            </w:r>
          </w:p>
        </w:tc>
        <w:tc>
          <w:tcPr>
            <w:tcW w:w="1517" w:type="dxa"/>
          </w:tcPr>
          <w:p w14:paraId="34A0AE7F"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w:t>
            </w:r>
          </w:p>
        </w:tc>
        <w:tc>
          <w:tcPr>
            <w:tcW w:w="890" w:type="dxa"/>
          </w:tcPr>
          <w:p w14:paraId="1352FB22"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1</w:t>
            </w:r>
          </w:p>
        </w:tc>
      </w:tr>
    </w:tbl>
    <w:p w14:paraId="1D084E55" w14:textId="0364DF68" w:rsidR="003C29AF" w:rsidRPr="003002C1"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The mean scores were statistically different for white and Latine mean score (p&lt; 0.05).</w:t>
      </w:r>
    </w:p>
    <w:p w14:paraId="26D1656B" w14:textId="458BD045" w:rsidR="00CA3863" w:rsidRPr="003002C1" w:rsidRDefault="00E65A98" w:rsidP="00CA3863">
      <w:pPr>
        <w:jc w:val="both"/>
        <w:rPr>
          <w:rFonts w:ascii="Times New Roman" w:hAnsi="Times New Roman" w:cs="Times New Roman"/>
          <w:b/>
          <w:bCs/>
          <w:sz w:val="24"/>
          <w:szCs w:val="24"/>
        </w:rPr>
      </w:pPr>
      <w:r>
        <w:rPr>
          <w:rFonts w:ascii="Times New Roman" w:hAnsi="Times New Roman" w:cs="Times New Roman"/>
          <w:b/>
          <w:bCs/>
          <w:sz w:val="24"/>
          <w:szCs w:val="24"/>
        </w:rPr>
        <w:t>Table</w:t>
      </w:r>
      <w:r w:rsidR="00CA3863" w:rsidRPr="003002C1">
        <w:rPr>
          <w:rFonts w:ascii="Times New Roman" w:hAnsi="Times New Roman" w:cs="Times New Roman"/>
          <w:b/>
          <w:bCs/>
          <w:sz w:val="24"/>
          <w:szCs w:val="24"/>
        </w:rPr>
        <w:t xml:space="preserve"> </w:t>
      </w:r>
      <w:r w:rsidR="00415567">
        <w:rPr>
          <w:rFonts w:ascii="Times New Roman" w:hAnsi="Times New Roman" w:cs="Times New Roman"/>
          <w:b/>
          <w:bCs/>
          <w:sz w:val="24"/>
          <w:szCs w:val="24"/>
        </w:rPr>
        <w:t>23</w:t>
      </w:r>
      <w:r w:rsidR="00CA3863" w:rsidRPr="003002C1">
        <w:rPr>
          <w:rFonts w:ascii="Times New Roman" w:hAnsi="Times New Roman" w:cs="Times New Roman"/>
          <w:b/>
          <w:bCs/>
          <w:sz w:val="24"/>
          <w:szCs w:val="24"/>
        </w:rPr>
        <w:t xml:space="preserve">: Disparate impact: mean risk regardless of pretrial release (n=558) </w:t>
      </w:r>
    </w:p>
    <w:tbl>
      <w:tblPr>
        <w:tblStyle w:val="TableGrid"/>
        <w:tblW w:w="0" w:type="auto"/>
        <w:tblLook w:val="04A0" w:firstRow="1" w:lastRow="0" w:firstColumn="1" w:lastColumn="0" w:noHBand="0" w:noVBand="1"/>
      </w:tblPr>
      <w:tblGrid>
        <w:gridCol w:w="784"/>
        <w:gridCol w:w="922"/>
        <w:gridCol w:w="1059"/>
        <w:gridCol w:w="1287"/>
        <w:gridCol w:w="992"/>
        <w:gridCol w:w="992"/>
        <w:gridCol w:w="970"/>
        <w:gridCol w:w="1212"/>
        <w:gridCol w:w="1132"/>
      </w:tblGrid>
      <w:tr w:rsidR="00CA3863" w:rsidRPr="003002C1" w14:paraId="2B062079" w14:textId="77777777" w:rsidTr="00A07AC4">
        <w:tc>
          <w:tcPr>
            <w:tcW w:w="9350" w:type="dxa"/>
            <w:gridSpan w:val="9"/>
          </w:tcPr>
          <w:p w14:paraId="4A2C92BC"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Scores</w:t>
            </w:r>
          </w:p>
        </w:tc>
      </w:tr>
      <w:tr w:rsidR="00CA3863" w:rsidRPr="003002C1" w14:paraId="21316E58" w14:textId="77777777" w:rsidTr="00A07AC4">
        <w:tc>
          <w:tcPr>
            <w:tcW w:w="787" w:type="dxa"/>
          </w:tcPr>
          <w:p w14:paraId="25188432" w14:textId="77777777" w:rsidR="00CA3863" w:rsidRPr="003002C1" w:rsidRDefault="00CA3863" w:rsidP="00A07AC4">
            <w:pPr>
              <w:jc w:val="both"/>
              <w:rPr>
                <w:rFonts w:ascii="Times New Roman" w:hAnsi="Times New Roman" w:cs="Times New Roman"/>
              </w:rPr>
            </w:pPr>
          </w:p>
        </w:tc>
        <w:tc>
          <w:tcPr>
            <w:tcW w:w="943" w:type="dxa"/>
          </w:tcPr>
          <w:p w14:paraId="38943B8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Males</w:t>
            </w:r>
          </w:p>
          <w:p w14:paraId="29BC307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(458)</w:t>
            </w:r>
          </w:p>
        </w:tc>
        <w:tc>
          <w:tcPr>
            <w:tcW w:w="1066" w:type="dxa"/>
          </w:tcPr>
          <w:p w14:paraId="339CF6B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Females</w:t>
            </w:r>
          </w:p>
          <w:p w14:paraId="27B19303"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(n=100)</w:t>
            </w:r>
          </w:p>
        </w:tc>
        <w:tc>
          <w:tcPr>
            <w:tcW w:w="1339" w:type="dxa"/>
          </w:tcPr>
          <w:p w14:paraId="6261AD5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White</w:t>
            </w:r>
          </w:p>
          <w:p w14:paraId="58438E83"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 (n=164)</w:t>
            </w:r>
          </w:p>
        </w:tc>
        <w:tc>
          <w:tcPr>
            <w:tcW w:w="980" w:type="dxa"/>
          </w:tcPr>
          <w:p w14:paraId="32BF225D"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Black</w:t>
            </w:r>
          </w:p>
          <w:p w14:paraId="69961D6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(n=239)</w:t>
            </w:r>
          </w:p>
        </w:tc>
        <w:tc>
          <w:tcPr>
            <w:tcW w:w="830" w:type="dxa"/>
          </w:tcPr>
          <w:p w14:paraId="3EF2ED88"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Latine</w:t>
            </w:r>
          </w:p>
          <w:p w14:paraId="088F509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(n=117)</w:t>
            </w:r>
          </w:p>
        </w:tc>
        <w:tc>
          <w:tcPr>
            <w:tcW w:w="987" w:type="dxa"/>
          </w:tcPr>
          <w:p w14:paraId="7D12ECE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Asian</w:t>
            </w:r>
          </w:p>
          <w:p w14:paraId="5A16F0B2"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(n=29)</w:t>
            </w:r>
          </w:p>
        </w:tc>
        <w:tc>
          <w:tcPr>
            <w:tcW w:w="1221" w:type="dxa"/>
          </w:tcPr>
          <w:p w14:paraId="3D1CBEE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 xml:space="preserve">Native American </w:t>
            </w:r>
          </w:p>
          <w:p w14:paraId="12D4360E"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(n=1)</w:t>
            </w:r>
          </w:p>
        </w:tc>
        <w:tc>
          <w:tcPr>
            <w:tcW w:w="1197" w:type="dxa"/>
          </w:tcPr>
          <w:p w14:paraId="722A68E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Other</w:t>
            </w:r>
          </w:p>
          <w:p w14:paraId="6007AAD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(n=8)</w:t>
            </w:r>
          </w:p>
        </w:tc>
      </w:tr>
      <w:tr w:rsidR="00CA3863" w:rsidRPr="003002C1" w14:paraId="0FECDB55" w14:textId="77777777" w:rsidTr="00A07AC4">
        <w:tc>
          <w:tcPr>
            <w:tcW w:w="787" w:type="dxa"/>
          </w:tcPr>
          <w:p w14:paraId="0062EBF5"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Mean Risk Score</w:t>
            </w:r>
          </w:p>
        </w:tc>
        <w:tc>
          <w:tcPr>
            <w:tcW w:w="943" w:type="dxa"/>
          </w:tcPr>
          <w:p w14:paraId="6E02BC24"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4.51</w:t>
            </w:r>
          </w:p>
        </w:tc>
        <w:tc>
          <w:tcPr>
            <w:tcW w:w="1066" w:type="dxa"/>
          </w:tcPr>
          <w:p w14:paraId="79F89C6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4.73</w:t>
            </w:r>
          </w:p>
        </w:tc>
        <w:tc>
          <w:tcPr>
            <w:tcW w:w="1339" w:type="dxa"/>
          </w:tcPr>
          <w:p w14:paraId="5193FB4C"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4.90</w:t>
            </w:r>
          </w:p>
        </w:tc>
        <w:tc>
          <w:tcPr>
            <w:tcW w:w="980" w:type="dxa"/>
          </w:tcPr>
          <w:p w14:paraId="351C6628"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4.52</w:t>
            </w:r>
          </w:p>
        </w:tc>
        <w:tc>
          <w:tcPr>
            <w:tcW w:w="830" w:type="dxa"/>
          </w:tcPr>
          <w:p w14:paraId="1D87D451"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4.15</w:t>
            </w:r>
          </w:p>
        </w:tc>
        <w:tc>
          <w:tcPr>
            <w:tcW w:w="987" w:type="dxa"/>
          </w:tcPr>
          <w:p w14:paraId="7EE8DB59"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4.69</w:t>
            </w:r>
          </w:p>
        </w:tc>
        <w:tc>
          <w:tcPr>
            <w:tcW w:w="1221" w:type="dxa"/>
          </w:tcPr>
          <w:p w14:paraId="4633E0D0"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4</w:t>
            </w:r>
          </w:p>
        </w:tc>
        <w:tc>
          <w:tcPr>
            <w:tcW w:w="1197" w:type="dxa"/>
          </w:tcPr>
          <w:p w14:paraId="4F447297" w14:textId="77777777" w:rsidR="00CA3863" w:rsidRPr="003002C1" w:rsidRDefault="00CA3863" w:rsidP="00A07AC4">
            <w:pPr>
              <w:jc w:val="both"/>
              <w:rPr>
                <w:rFonts w:ascii="Times New Roman" w:hAnsi="Times New Roman" w:cs="Times New Roman"/>
              </w:rPr>
            </w:pPr>
            <w:r w:rsidRPr="003002C1">
              <w:rPr>
                <w:rFonts w:ascii="Times New Roman" w:hAnsi="Times New Roman" w:cs="Times New Roman"/>
              </w:rPr>
              <w:t>3.5</w:t>
            </w:r>
          </w:p>
        </w:tc>
      </w:tr>
    </w:tbl>
    <w:p w14:paraId="2A5719AB" w14:textId="4E3C41CA" w:rsidR="00403AA2" w:rsidRPr="007F5A2C"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The mean scores were statistically different for white and Latine mean score (p&lt; 0.05)</w:t>
      </w:r>
    </w:p>
    <w:p w14:paraId="5CAE9A6F" w14:textId="1F68CC32" w:rsidR="00CA3863" w:rsidRPr="003E3949" w:rsidRDefault="00CA3863" w:rsidP="00CA3863">
      <w:pPr>
        <w:jc w:val="both"/>
        <w:rPr>
          <w:rFonts w:ascii="Times New Roman" w:hAnsi="Times New Roman" w:cs="Times New Roman"/>
          <w:b/>
          <w:bCs/>
          <w:color w:val="4472C4" w:themeColor="accent1"/>
          <w:sz w:val="24"/>
          <w:szCs w:val="24"/>
        </w:rPr>
      </w:pPr>
      <w:r w:rsidRPr="003E3949">
        <w:rPr>
          <w:rFonts w:ascii="Times New Roman" w:hAnsi="Times New Roman" w:cs="Times New Roman"/>
          <w:b/>
          <w:bCs/>
          <w:color w:val="4472C4" w:themeColor="accent1"/>
          <w:sz w:val="24"/>
          <w:szCs w:val="24"/>
        </w:rPr>
        <w:t xml:space="preserve">Discussion </w:t>
      </w:r>
    </w:p>
    <w:p w14:paraId="31677415" w14:textId="24E3B365" w:rsidR="00CA3863" w:rsidRDefault="00CA3863" w:rsidP="00CA3863">
      <w:pPr>
        <w:jc w:val="both"/>
        <w:rPr>
          <w:rFonts w:ascii="Times New Roman" w:hAnsi="Times New Roman" w:cs="Times New Roman"/>
          <w:sz w:val="24"/>
          <w:szCs w:val="24"/>
        </w:rPr>
      </w:pPr>
      <w:r w:rsidRPr="003002C1">
        <w:rPr>
          <w:rFonts w:ascii="Times New Roman" w:hAnsi="Times New Roman" w:cs="Times New Roman"/>
          <w:sz w:val="24"/>
          <w:szCs w:val="24"/>
        </w:rPr>
        <w:t xml:space="preserve">Overall, the FTA rates increase as ORAS-PAT risk level increase, and these increases are statistically significant. Indicating that the increases in FTA rate are not by chance; the risk level does predict FTA. At the same time, </w:t>
      </w:r>
      <w:r w:rsidR="00427E43">
        <w:rPr>
          <w:rFonts w:ascii="Times New Roman" w:hAnsi="Times New Roman" w:cs="Times New Roman"/>
          <w:sz w:val="24"/>
          <w:szCs w:val="24"/>
        </w:rPr>
        <w:t xml:space="preserve">the </w:t>
      </w:r>
      <w:r w:rsidR="00DE62CC">
        <w:rPr>
          <w:rFonts w:ascii="Times New Roman" w:hAnsi="Times New Roman" w:cs="Times New Roman"/>
          <w:sz w:val="24"/>
          <w:szCs w:val="24"/>
        </w:rPr>
        <w:t xml:space="preserve">predictability of the </w:t>
      </w:r>
      <w:r w:rsidRPr="003002C1">
        <w:rPr>
          <w:rFonts w:ascii="Times New Roman" w:hAnsi="Times New Roman" w:cs="Times New Roman"/>
          <w:sz w:val="24"/>
          <w:szCs w:val="24"/>
        </w:rPr>
        <w:t xml:space="preserve">ORAS-PAT risk score </w:t>
      </w:r>
      <w:r w:rsidR="00427E43">
        <w:rPr>
          <w:rFonts w:ascii="Times New Roman" w:hAnsi="Times New Roman" w:cs="Times New Roman"/>
          <w:sz w:val="24"/>
          <w:szCs w:val="24"/>
        </w:rPr>
        <w:t>is</w:t>
      </w:r>
      <w:r w:rsidRPr="003002C1">
        <w:rPr>
          <w:rFonts w:ascii="Times New Roman" w:hAnsi="Times New Roman" w:cs="Times New Roman"/>
          <w:sz w:val="24"/>
          <w:szCs w:val="24"/>
        </w:rPr>
        <w:t xml:space="preserve"> not statistically significant. The findings suggest that the total score can be adjusted to predict the Solano population accurately. The FTA rates are ununiformed. The logistic regression model predicting the likelihood of FTA, and total revocations were consistent that risk score was statistically significant at predicting FTA or total revocation but not a new arrest. Although the covariates of race and gender do not seem to predict FTA, arrest, or revocations, suggesting no racial bias, when the strength of ORAS-PAT </w:t>
      </w:r>
      <w:r w:rsidR="00371EAF">
        <w:rPr>
          <w:rFonts w:ascii="Times New Roman" w:hAnsi="Times New Roman" w:cs="Times New Roman"/>
          <w:sz w:val="24"/>
          <w:szCs w:val="24"/>
        </w:rPr>
        <w:t xml:space="preserve">was examined </w:t>
      </w:r>
      <w:r w:rsidRPr="003002C1">
        <w:rPr>
          <w:rFonts w:ascii="Times New Roman" w:hAnsi="Times New Roman" w:cs="Times New Roman"/>
          <w:sz w:val="24"/>
          <w:szCs w:val="24"/>
        </w:rPr>
        <w:t>on FTA rates by subgroups, the prediction for Latine and Asian individuals is less in comparison to white and Black</w:t>
      </w:r>
      <w:r>
        <w:rPr>
          <w:rFonts w:ascii="Times New Roman" w:hAnsi="Times New Roman" w:cs="Times New Roman"/>
          <w:sz w:val="24"/>
          <w:szCs w:val="24"/>
        </w:rPr>
        <w:t xml:space="preserve"> </w:t>
      </w:r>
      <w:r w:rsidR="00371EAF">
        <w:rPr>
          <w:rFonts w:ascii="Times New Roman" w:hAnsi="Times New Roman" w:cs="Times New Roman"/>
          <w:sz w:val="24"/>
          <w:szCs w:val="24"/>
        </w:rPr>
        <w:t>individuals</w:t>
      </w:r>
      <w:r w:rsidRPr="003002C1">
        <w:rPr>
          <w:rFonts w:ascii="Times New Roman" w:hAnsi="Times New Roman" w:cs="Times New Roman"/>
          <w:sz w:val="24"/>
          <w:szCs w:val="24"/>
        </w:rPr>
        <w:t>. The predictive strength varied for Latine and Asian individuals. The difference in strength may</w:t>
      </w:r>
      <w:r w:rsidR="00B30CA8">
        <w:rPr>
          <w:rFonts w:ascii="Times New Roman" w:hAnsi="Times New Roman" w:cs="Times New Roman"/>
          <w:sz w:val="24"/>
          <w:szCs w:val="24"/>
        </w:rPr>
        <w:t xml:space="preserve"> </w:t>
      </w:r>
      <w:r w:rsidRPr="003002C1">
        <w:rPr>
          <w:rFonts w:ascii="Times New Roman" w:hAnsi="Times New Roman" w:cs="Times New Roman"/>
          <w:sz w:val="24"/>
          <w:szCs w:val="24"/>
        </w:rPr>
        <w:t xml:space="preserve">be </w:t>
      </w:r>
      <w:r w:rsidR="00B30CA8">
        <w:rPr>
          <w:rFonts w:ascii="Times New Roman" w:hAnsi="Times New Roman" w:cs="Times New Roman"/>
          <w:sz w:val="24"/>
          <w:szCs w:val="24"/>
        </w:rPr>
        <w:t>due to</w:t>
      </w:r>
      <w:r w:rsidRPr="003002C1">
        <w:rPr>
          <w:rFonts w:ascii="Times New Roman" w:hAnsi="Times New Roman" w:cs="Times New Roman"/>
          <w:sz w:val="24"/>
          <w:szCs w:val="24"/>
        </w:rPr>
        <w:t xml:space="preserve"> the high-risk category is lower than expected for high-risk level individuals who are Asian or Latine. Testing individual items of the tool will allow a better explanation of why there is a difference in prediction strength. At this moment, </w:t>
      </w:r>
      <w:r w:rsidR="00B30CA8">
        <w:rPr>
          <w:rFonts w:ascii="Times New Roman" w:hAnsi="Times New Roman" w:cs="Times New Roman"/>
          <w:sz w:val="24"/>
          <w:szCs w:val="24"/>
        </w:rPr>
        <w:t>Probation</w:t>
      </w:r>
      <w:r w:rsidRPr="003002C1">
        <w:rPr>
          <w:rFonts w:ascii="Times New Roman" w:hAnsi="Times New Roman" w:cs="Times New Roman"/>
          <w:sz w:val="24"/>
          <w:szCs w:val="24"/>
        </w:rPr>
        <w:t xml:space="preserve"> is unable to retrieve that data due to a change in </w:t>
      </w:r>
      <w:r w:rsidR="00EB09D3">
        <w:rPr>
          <w:rFonts w:ascii="Times New Roman" w:hAnsi="Times New Roman" w:cs="Times New Roman"/>
          <w:sz w:val="24"/>
          <w:szCs w:val="24"/>
        </w:rPr>
        <w:t>their</w:t>
      </w:r>
      <w:r w:rsidRPr="003002C1">
        <w:rPr>
          <w:rFonts w:ascii="Times New Roman" w:hAnsi="Times New Roman" w:cs="Times New Roman"/>
          <w:sz w:val="24"/>
          <w:szCs w:val="24"/>
        </w:rPr>
        <w:t xml:space="preserve"> data management system. What can be concluded is that the risk levels do not accurately predict for Latine and Asian populations, not because they are a higher FTA</w:t>
      </w:r>
      <w:r w:rsidR="00E86368">
        <w:rPr>
          <w:rFonts w:ascii="Times New Roman" w:hAnsi="Times New Roman" w:cs="Times New Roman"/>
          <w:sz w:val="24"/>
          <w:szCs w:val="24"/>
        </w:rPr>
        <w:t xml:space="preserve"> rate</w:t>
      </w:r>
      <w:r w:rsidRPr="003002C1">
        <w:rPr>
          <w:rFonts w:ascii="Times New Roman" w:hAnsi="Times New Roman" w:cs="Times New Roman"/>
          <w:sz w:val="24"/>
          <w:szCs w:val="24"/>
        </w:rPr>
        <w:t xml:space="preserve"> but because they have a lower FTA </w:t>
      </w:r>
      <w:r w:rsidR="00E86368">
        <w:rPr>
          <w:rFonts w:ascii="Times New Roman" w:hAnsi="Times New Roman" w:cs="Times New Roman"/>
          <w:sz w:val="24"/>
          <w:szCs w:val="24"/>
        </w:rPr>
        <w:t xml:space="preserve">rate </w:t>
      </w:r>
      <w:r w:rsidRPr="003002C1">
        <w:rPr>
          <w:rFonts w:ascii="Times New Roman" w:hAnsi="Times New Roman" w:cs="Times New Roman"/>
          <w:sz w:val="24"/>
          <w:szCs w:val="24"/>
        </w:rPr>
        <w:t xml:space="preserve">for </w:t>
      </w:r>
      <w:r w:rsidR="000B490A">
        <w:rPr>
          <w:rFonts w:ascii="Times New Roman" w:hAnsi="Times New Roman" w:cs="Times New Roman"/>
          <w:sz w:val="24"/>
          <w:szCs w:val="24"/>
        </w:rPr>
        <w:t>high-risk</w:t>
      </w:r>
      <w:r w:rsidRPr="003002C1">
        <w:rPr>
          <w:rFonts w:ascii="Times New Roman" w:hAnsi="Times New Roman" w:cs="Times New Roman"/>
          <w:sz w:val="24"/>
          <w:szCs w:val="24"/>
        </w:rPr>
        <w:t xml:space="preserve"> levels. There was no gender bias, and the tool predicted a slight increase in FTA rates as risk levels increased by gender.</w:t>
      </w:r>
    </w:p>
    <w:p w14:paraId="25C29F34" w14:textId="77777777" w:rsidR="003E3949" w:rsidRPr="003002C1" w:rsidRDefault="003E3949" w:rsidP="00CA3863">
      <w:pPr>
        <w:jc w:val="both"/>
        <w:rPr>
          <w:rFonts w:ascii="Times New Roman" w:hAnsi="Times New Roman" w:cs="Times New Roman"/>
          <w:sz w:val="24"/>
          <w:szCs w:val="24"/>
        </w:rPr>
      </w:pPr>
    </w:p>
    <w:p w14:paraId="68DD28B6" w14:textId="77777777" w:rsidR="00CA3863" w:rsidRPr="003002C1" w:rsidRDefault="00CA3863" w:rsidP="00CA3863">
      <w:pPr>
        <w:pStyle w:val="Content"/>
        <w:rPr>
          <w:rFonts w:ascii="Times New Roman" w:hAnsi="Times New Roman" w:cs="Times New Roman"/>
          <w:b/>
          <w:bCs/>
          <w:color w:val="4472C4" w:themeColor="accent1"/>
          <w:sz w:val="24"/>
          <w:szCs w:val="24"/>
        </w:rPr>
      </w:pPr>
      <w:r w:rsidRPr="003002C1">
        <w:rPr>
          <w:rFonts w:ascii="Times New Roman" w:hAnsi="Times New Roman" w:cs="Times New Roman"/>
          <w:b/>
          <w:bCs/>
          <w:color w:val="4472C4" w:themeColor="accent1"/>
          <w:sz w:val="24"/>
          <w:szCs w:val="24"/>
        </w:rPr>
        <w:t xml:space="preserve">Conclusion </w:t>
      </w:r>
    </w:p>
    <w:p w14:paraId="37A8368D" w14:textId="67744B67" w:rsidR="00CA3863" w:rsidRPr="003C29AF" w:rsidRDefault="00CA3863" w:rsidP="003C29AF">
      <w:pPr>
        <w:pStyle w:val="Content"/>
        <w:jc w:val="both"/>
        <w:rPr>
          <w:rFonts w:ascii="Times New Roman" w:hAnsi="Times New Roman" w:cs="Times New Roman"/>
          <w:color w:val="auto"/>
          <w:sz w:val="24"/>
          <w:szCs w:val="24"/>
        </w:rPr>
      </w:pPr>
      <w:r w:rsidRPr="003002C1">
        <w:rPr>
          <w:rFonts w:ascii="Times New Roman" w:hAnsi="Times New Roman" w:cs="Times New Roman"/>
          <w:color w:val="4472C4" w:themeColor="accent1"/>
          <w:sz w:val="24"/>
          <w:szCs w:val="24"/>
        </w:rPr>
        <w:tab/>
      </w:r>
      <w:r w:rsidR="00807D2D" w:rsidRPr="00807D2D">
        <w:rPr>
          <w:rFonts w:ascii="Times New Roman" w:hAnsi="Times New Roman" w:cs="Times New Roman"/>
          <w:color w:val="auto"/>
          <w:sz w:val="24"/>
          <w:szCs w:val="24"/>
        </w:rPr>
        <w:t>In conclusion, the ORAS-PAT in Solano County demonstrates to be statistically significant at predicting FTA by risk level but not risk score. For the 2019 data, the strength of risk level in predicting FTA rates was low for Black and Latine individuals compared to white individuals. However, the 2020 data demonstrated a moderate predictive strength in risk levels across the white and Black populations but not for the Latine or Asian populations. The study also examined potential gender bias. Based on the findings, there was no statistical difference to determine gender bias on either 2019 or 2020 data. Lastly, the study examined disparate impact based on the average mean score by race and ethnicity. For the 2020 data, the disparate impact findings suggest a statistical difference between the mean risk score for Latine compared to white individuals, which suggests that a closer look at the model needs to be considered for those differences. Those differences might be due to how different groups score for individual items in the ORAS-PAT; however, that data was unavailable.</w:t>
      </w:r>
    </w:p>
    <w:p w14:paraId="7D2A28BD" w14:textId="14DCDB9C" w:rsidR="00CA3863" w:rsidRDefault="00CA3863" w:rsidP="00CA3863">
      <w:pPr>
        <w:jc w:val="both"/>
        <w:rPr>
          <w:rFonts w:ascii="Times New Roman" w:hAnsi="Times New Roman" w:cs="Times New Roman"/>
          <w:b/>
          <w:bCs/>
          <w:sz w:val="24"/>
          <w:szCs w:val="24"/>
        </w:rPr>
      </w:pPr>
    </w:p>
    <w:p w14:paraId="77E1A2C5" w14:textId="262E5B20" w:rsidR="00A907E5" w:rsidRDefault="00A907E5" w:rsidP="00CA3863">
      <w:pPr>
        <w:jc w:val="both"/>
        <w:rPr>
          <w:rFonts w:ascii="Times New Roman" w:hAnsi="Times New Roman" w:cs="Times New Roman"/>
          <w:b/>
          <w:bCs/>
          <w:sz w:val="24"/>
          <w:szCs w:val="24"/>
        </w:rPr>
      </w:pPr>
    </w:p>
    <w:p w14:paraId="5B6AA254" w14:textId="24E26A33" w:rsidR="00A907E5" w:rsidRDefault="00A907E5" w:rsidP="00CA3863">
      <w:pPr>
        <w:jc w:val="both"/>
        <w:rPr>
          <w:rFonts w:ascii="Times New Roman" w:hAnsi="Times New Roman" w:cs="Times New Roman"/>
          <w:b/>
          <w:bCs/>
          <w:sz w:val="24"/>
          <w:szCs w:val="24"/>
        </w:rPr>
      </w:pPr>
    </w:p>
    <w:p w14:paraId="1D10FFC5" w14:textId="3030E8DB" w:rsidR="00A907E5" w:rsidRDefault="00A907E5" w:rsidP="00CA3863">
      <w:pPr>
        <w:jc w:val="both"/>
        <w:rPr>
          <w:rFonts w:ascii="Times New Roman" w:hAnsi="Times New Roman" w:cs="Times New Roman"/>
          <w:b/>
          <w:bCs/>
          <w:sz w:val="24"/>
          <w:szCs w:val="24"/>
        </w:rPr>
      </w:pPr>
    </w:p>
    <w:p w14:paraId="4DD22129" w14:textId="1E2FCABC" w:rsidR="00A907E5" w:rsidRDefault="00A907E5" w:rsidP="00CA3863">
      <w:pPr>
        <w:jc w:val="both"/>
        <w:rPr>
          <w:rFonts w:ascii="Times New Roman" w:hAnsi="Times New Roman" w:cs="Times New Roman"/>
          <w:b/>
          <w:bCs/>
          <w:sz w:val="24"/>
          <w:szCs w:val="24"/>
        </w:rPr>
      </w:pPr>
    </w:p>
    <w:p w14:paraId="2A816225" w14:textId="409EE2BC" w:rsidR="00457B40" w:rsidRDefault="00457B40" w:rsidP="00CA3863">
      <w:pPr>
        <w:jc w:val="both"/>
        <w:rPr>
          <w:rFonts w:ascii="Times New Roman" w:hAnsi="Times New Roman" w:cs="Times New Roman"/>
          <w:b/>
          <w:bCs/>
          <w:sz w:val="24"/>
          <w:szCs w:val="24"/>
        </w:rPr>
      </w:pPr>
    </w:p>
    <w:p w14:paraId="2A6D101A" w14:textId="350F8C10" w:rsidR="00457B40" w:rsidRDefault="00457B40" w:rsidP="00CA3863">
      <w:pPr>
        <w:jc w:val="both"/>
        <w:rPr>
          <w:rFonts w:ascii="Times New Roman" w:hAnsi="Times New Roman" w:cs="Times New Roman"/>
          <w:b/>
          <w:bCs/>
          <w:sz w:val="24"/>
          <w:szCs w:val="24"/>
        </w:rPr>
      </w:pPr>
    </w:p>
    <w:p w14:paraId="307D1AC1" w14:textId="4A7828E4" w:rsidR="00457B40" w:rsidRDefault="00457B40" w:rsidP="00CA3863">
      <w:pPr>
        <w:jc w:val="both"/>
        <w:rPr>
          <w:rFonts w:ascii="Times New Roman" w:hAnsi="Times New Roman" w:cs="Times New Roman"/>
          <w:b/>
          <w:bCs/>
          <w:sz w:val="24"/>
          <w:szCs w:val="24"/>
        </w:rPr>
      </w:pPr>
    </w:p>
    <w:p w14:paraId="7EC5974E" w14:textId="7D4A7B6D" w:rsidR="00457B40" w:rsidRDefault="00457B40" w:rsidP="00CA3863">
      <w:pPr>
        <w:jc w:val="both"/>
        <w:rPr>
          <w:rFonts w:ascii="Times New Roman" w:hAnsi="Times New Roman" w:cs="Times New Roman"/>
          <w:b/>
          <w:bCs/>
          <w:sz w:val="24"/>
          <w:szCs w:val="24"/>
        </w:rPr>
      </w:pPr>
    </w:p>
    <w:p w14:paraId="2D6DFA9C" w14:textId="6F340FCE" w:rsidR="00457B40" w:rsidRDefault="00457B40" w:rsidP="00CA3863">
      <w:pPr>
        <w:jc w:val="both"/>
        <w:rPr>
          <w:rFonts w:ascii="Times New Roman" w:hAnsi="Times New Roman" w:cs="Times New Roman"/>
          <w:b/>
          <w:bCs/>
          <w:sz w:val="24"/>
          <w:szCs w:val="24"/>
        </w:rPr>
      </w:pPr>
    </w:p>
    <w:p w14:paraId="3B4F4992" w14:textId="6BC64A11" w:rsidR="00457B40" w:rsidRDefault="00457B40" w:rsidP="00CA3863">
      <w:pPr>
        <w:jc w:val="both"/>
        <w:rPr>
          <w:rFonts w:ascii="Times New Roman" w:hAnsi="Times New Roman" w:cs="Times New Roman"/>
          <w:b/>
          <w:bCs/>
          <w:sz w:val="24"/>
          <w:szCs w:val="24"/>
        </w:rPr>
      </w:pPr>
    </w:p>
    <w:p w14:paraId="31145AD3" w14:textId="74ED12D0" w:rsidR="00457B40" w:rsidRDefault="00457B40" w:rsidP="00CA3863">
      <w:pPr>
        <w:jc w:val="both"/>
        <w:rPr>
          <w:rFonts w:ascii="Times New Roman" w:hAnsi="Times New Roman" w:cs="Times New Roman"/>
          <w:b/>
          <w:bCs/>
          <w:sz w:val="24"/>
          <w:szCs w:val="24"/>
        </w:rPr>
      </w:pPr>
    </w:p>
    <w:p w14:paraId="45F79E50" w14:textId="47813A81" w:rsidR="00457B40" w:rsidRDefault="00457B40" w:rsidP="00CA3863">
      <w:pPr>
        <w:jc w:val="both"/>
        <w:rPr>
          <w:rFonts w:ascii="Times New Roman" w:hAnsi="Times New Roman" w:cs="Times New Roman"/>
          <w:b/>
          <w:bCs/>
          <w:sz w:val="24"/>
          <w:szCs w:val="24"/>
        </w:rPr>
      </w:pPr>
    </w:p>
    <w:p w14:paraId="43AE3FBA" w14:textId="0ECFACBF" w:rsidR="00457B40" w:rsidRDefault="00457B40" w:rsidP="00CA3863">
      <w:pPr>
        <w:jc w:val="both"/>
        <w:rPr>
          <w:rFonts w:ascii="Times New Roman" w:hAnsi="Times New Roman" w:cs="Times New Roman"/>
          <w:b/>
          <w:bCs/>
          <w:sz w:val="24"/>
          <w:szCs w:val="24"/>
        </w:rPr>
      </w:pPr>
    </w:p>
    <w:p w14:paraId="5022DD9F" w14:textId="649D0C7A" w:rsidR="00457B40" w:rsidRDefault="00457B40" w:rsidP="00CA3863">
      <w:pPr>
        <w:jc w:val="both"/>
        <w:rPr>
          <w:rFonts w:ascii="Times New Roman" w:hAnsi="Times New Roman" w:cs="Times New Roman"/>
          <w:b/>
          <w:bCs/>
          <w:sz w:val="24"/>
          <w:szCs w:val="24"/>
        </w:rPr>
      </w:pPr>
    </w:p>
    <w:p w14:paraId="77F49DDA" w14:textId="7E58A5DC" w:rsidR="00457B40" w:rsidRDefault="00457B40" w:rsidP="00CA3863">
      <w:pPr>
        <w:jc w:val="both"/>
        <w:rPr>
          <w:rFonts w:ascii="Times New Roman" w:hAnsi="Times New Roman" w:cs="Times New Roman"/>
          <w:b/>
          <w:bCs/>
          <w:sz w:val="24"/>
          <w:szCs w:val="24"/>
        </w:rPr>
      </w:pPr>
    </w:p>
    <w:p w14:paraId="29DFD7E4" w14:textId="0B6A201F" w:rsidR="00457B40" w:rsidRDefault="00457B40" w:rsidP="00CA3863">
      <w:pPr>
        <w:jc w:val="both"/>
        <w:rPr>
          <w:rFonts w:ascii="Times New Roman" w:hAnsi="Times New Roman" w:cs="Times New Roman"/>
          <w:b/>
          <w:bCs/>
          <w:sz w:val="24"/>
          <w:szCs w:val="24"/>
        </w:rPr>
      </w:pPr>
    </w:p>
    <w:p w14:paraId="015EF405" w14:textId="77777777" w:rsidR="00457B40" w:rsidRDefault="00457B40" w:rsidP="00CA3863">
      <w:pPr>
        <w:jc w:val="both"/>
        <w:rPr>
          <w:rFonts w:ascii="Times New Roman" w:hAnsi="Times New Roman" w:cs="Times New Roman"/>
          <w:b/>
          <w:bCs/>
          <w:sz w:val="24"/>
          <w:szCs w:val="24"/>
        </w:rPr>
      </w:pPr>
    </w:p>
    <w:p w14:paraId="1FEC7571" w14:textId="77777777" w:rsidR="00215E4F" w:rsidRPr="003002C1" w:rsidRDefault="00215E4F" w:rsidP="00CA3863">
      <w:pPr>
        <w:jc w:val="both"/>
        <w:rPr>
          <w:rFonts w:ascii="Times New Roman" w:hAnsi="Times New Roman" w:cs="Times New Roman"/>
          <w:b/>
          <w:bCs/>
          <w:sz w:val="24"/>
          <w:szCs w:val="24"/>
        </w:rPr>
      </w:pPr>
    </w:p>
    <w:p w14:paraId="5569CF8C" w14:textId="77777777" w:rsidR="00CA3863" w:rsidRPr="003002C1" w:rsidRDefault="00CA3863" w:rsidP="00CA3863">
      <w:pPr>
        <w:jc w:val="center"/>
        <w:rPr>
          <w:rFonts w:ascii="Times New Roman" w:hAnsi="Times New Roman" w:cs="Times New Roman"/>
          <w:b/>
          <w:bCs/>
          <w:sz w:val="24"/>
          <w:szCs w:val="24"/>
        </w:rPr>
      </w:pPr>
      <w:r w:rsidRPr="003002C1">
        <w:rPr>
          <w:rFonts w:ascii="Times New Roman" w:hAnsi="Times New Roman" w:cs="Times New Roman"/>
          <w:b/>
          <w:bCs/>
          <w:sz w:val="24"/>
          <w:szCs w:val="24"/>
        </w:rPr>
        <w:t xml:space="preserve">References </w:t>
      </w:r>
    </w:p>
    <w:p w14:paraId="574C157C"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Barno, M., Martínez, D. N., &amp; Williams, K. R. (2020). Exploring alternatives to cash bail: An </w:t>
      </w:r>
      <w:r w:rsidRPr="003002C1">
        <w:rPr>
          <w:rFonts w:ascii="Times New Roman" w:hAnsi="Times New Roman" w:cs="Times New Roman"/>
          <w:sz w:val="24"/>
          <w:szCs w:val="24"/>
          <w:shd w:val="clear" w:color="auto" w:fill="FFFFFF"/>
        </w:rPr>
        <w:tab/>
        <w:t xml:space="preserve">evaluation of Orange County’s pretrial assessment and release supervision (PARS) </w:t>
      </w:r>
      <w:r w:rsidRPr="003002C1">
        <w:rPr>
          <w:rFonts w:ascii="Times New Roman" w:hAnsi="Times New Roman" w:cs="Times New Roman"/>
          <w:sz w:val="24"/>
          <w:szCs w:val="24"/>
          <w:shd w:val="clear" w:color="auto" w:fill="FFFFFF"/>
        </w:rPr>
        <w:tab/>
        <w:t>program. </w:t>
      </w:r>
      <w:r w:rsidRPr="003002C1">
        <w:rPr>
          <w:rFonts w:ascii="Times New Roman" w:hAnsi="Times New Roman" w:cs="Times New Roman"/>
          <w:i/>
          <w:iCs/>
          <w:sz w:val="24"/>
          <w:szCs w:val="24"/>
          <w:shd w:val="clear" w:color="auto" w:fill="FFFFFF"/>
        </w:rPr>
        <w:t>American Journal of Criminal Justice</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45</w:t>
      </w:r>
      <w:r w:rsidRPr="003002C1">
        <w:rPr>
          <w:rFonts w:ascii="Times New Roman" w:hAnsi="Times New Roman" w:cs="Times New Roman"/>
          <w:sz w:val="24"/>
          <w:szCs w:val="24"/>
          <w:shd w:val="clear" w:color="auto" w:fill="FFFFFF"/>
        </w:rPr>
        <w:t>(3), 363-378.</w:t>
      </w:r>
    </w:p>
    <w:p w14:paraId="1CE117E8"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Chouldechova, A. (2017). Fair prediction with disparate impact: A study of bias in recidivism </w:t>
      </w:r>
      <w:r w:rsidRPr="003002C1">
        <w:rPr>
          <w:rFonts w:ascii="Times New Roman" w:hAnsi="Times New Roman" w:cs="Times New Roman"/>
          <w:sz w:val="24"/>
          <w:szCs w:val="24"/>
          <w:shd w:val="clear" w:color="auto" w:fill="FFFFFF"/>
        </w:rPr>
        <w:tab/>
        <w:t>prediction instruments. </w:t>
      </w:r>
      <w:r w:rsidRPr="003002C1">
        <w:rPr>
          <w:rFonts w:ascii="Times New Roman" w:hAnsi="Times New Roman" w:cs="Times New Roman"/>
          <w:i/>
          <w:iCs/>
          <w:sz w:val="24"/>
          <w:szCs w:val="24"/>
          <w:shd w:val="clear" w:color="auto" w:fill="FFFFFF"/>
        </w:rPr>
        <w:t>Big data</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5</w:t>
      </w:r>
      <w:r w:rsidRPr="003002C1">
        <w:rPr>
          <w:rFonts w:ascii="Times New Roman" w:hAnsi="Times New Roman" w:cs="Times New Roman"/>
          <w:sz w:val="24"/>
          <w:szCs w:val="24"/>
          <w:shd w:val="clear" w:color="auto" w:fill="FFFFFF"/>
        </w:rPr>
        <w:t>(2), 153-163.</w:t>
      </w:r>
    </w:p>
    <w:p w14:paraId="025EDB4E"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Dressel, J., &amp; Farid, H. (2018). The accuracy, fairness, and limits of predicting </w:t>
      </w:r>
      <w:r w:rsidRPr="003002C1">
        <w:rPr>
          <w:rFonts w:ascii="Times New Roman" w:hAnsi="Times New Roman" w:cs="Times New Roman"/>
          <w:sz w:val="24"/>
          <w:szCs w:val="24"/>
          <w:shd w:val="clear" w:color="auto" w:fill="FFFFFF"/>
        </w:rPr>
        <w:tab/>
        <w:t>recidivism. </w:t>
      </w:r>
      <w:r w:rsidRPr="003002C1">
        <w:rPr>
          <w:rFonts w:ascii="Times New Roman" w:hAnsi="Times New Roman" w:cs="Times New Roman"/>
          <w:i/>
          <w:iCs/>
          <w:sz w:val="24"/>
          <w:szCs w:val="24"/>
          <w:shd w:val="clear" w:color="auto" w:fill="FFFFFF"/>
        </w:rPr>
        <w:t>Science advances</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4</w:t>
      </w:r>
      <w:r w:rsidRPr="003002C1">
        <w:rPr>
          <w:rFonts w:ascii="Times New Roman" w:hAnsi="Times New Roman" w:cs="Times New Roman"/>
          <w:sz w:val="24"/>
          <w:szCs w:val="24"/>
          <w:shd w:val="clear" w:color="auto" w:fill="FFFFFF"/>
        </w:rPr>
        <w:t>(1), eaao5580.</w:t>
      </w:r>
    </w:p>
    <w:p w14:paraId="0C0FDF69"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Latessa, E. J., Lemke, R., Makarios, M., &amp; Smith, P. (2010). The creation and validation of the </w:t>
      </w:r>
      <w:r w:rsidRPr="003002C1">
        <w:rPr>
          <w:rFonts w:ascii="Times New Roman" w:hAnsi="Times New Roman" w:cs="Times New Roman"/>
          <w:sz w:val="24"/>
          <w:szCs w:val="24"/>
          <w:shd w:val="clear" w:color="auto" w:fill="FFFFFF"/>
        </w:rPr>
        <w:tab/>
        <w:t>Ohio Risk Assessment System (ORAS). </w:t>
      </w:r>
      <w:r w:rsidRPr="003002C1">
        <w:rPr>
          <w:rFonts w:ascii="Times New Roman" w:hAnsi="Times New Roman" w:cs="Times New Roman"/>
          <w:i/>
          <w:iCs/>
          <w:sz w:val="24"/>
          <w:szCs w:val="24"/>
          <w:shd w:val="clear" w:color="auto" w:fill="FFFFFF"/>
        </w:rPr>
        <w:t>Fed. Probation</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74</w:t>
      </w:r>
      <w:r w:rsidRPr="003002C1">
        <w:rPr>
          <w:rFonts w:ascii="Times New Roman" w:hAnsi="Times New Roman" w:cs="Times New Roman"/>
          <w:sz w:val="24"/>
          <w:szCs w:val="24"/>
          <w:shd w:val="clear" w:color="auto" w:fill="FFFFFF"/>
        </w:rPr>
        <w:t>, 16.</w:t>
      </w:r>
    </w:p>
    <w:p w14:paraId="57FA68BB"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Lovins, B., &amp; Lovins, L. (2016). Validation of a pretrial risk assessment tool.</w:t>
      </w:r>
    </w:p>
    <w:p w14:paraId="3C90B780"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Rice, M. E., &amp; Harris, G. T. (2005). Comparing effect sizes in follow-up studies: ROC Area, </w:t>
      </w:r>
      <w:r w:rsidRPr="003002C1">
        <w:rPr>
          <w:rFonts w:ascii="Times New Roman" w:hAnsi="Times New Roman" w:cs="Times New Roman"/>
          <w:sz w:val="24"/>
          <w:szCs w:val="24"/>
          <w:shd w:val="clear" w:color="auto" w:fill="FFFFFF"/>
        </w:rPr>
        <w:tab/>
        <w:t>Cohen's d, and r. </w:t>
      </w:r>
      <w:r w:rsidRPr="003002C1">
        <w:rPr>
          <w:rFonts w:ascii="Times New Roman" w:hAnsi="Times New Roman" w:cs="Times New Roman"/>
          <w:i/>
          <w:iCs/>
          <w:sz w:val="24"/>
          <w:szCs w:val="24"/>
          <w:shd w:val="clear" w:color="auto" w:fill="FFFFFF"/>
        </w:rPr>
        <w:t>Law and human behavior</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29</w:t>
      </w:r>
      <w:r w:rsidRPr="003002C1">
        <w:rPr>
          <w:rFonts w:ascii="Times New Roman" w:hAnsi="Times New Roman" w:cs="Times New Roman"/>
          <w:sz w:val="24"/>
          <w:szCs w:val="24"/>
          <w:shd w:val="clear" w:color="auto" w:fill="FFFFFF"/>
        </w:rPr>
        <w:t>(5), 615.</w:t>
      </w:r>
    </w:p>
    <w:p w14:paraId="16DC716F"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Skeem, J. L., &amp; Lowenkamp, C. T. (2016). Risk, race, and recidivism: Predictive bias and </w:t>
      </w:r>
      <w:r w:rsidRPr="003002C1">
        <w:rPr>
          <w:rFonts w:ascii="Times New Roman" w:hAnsi="Times New Roman" w:cs="Times New Roman"/>
          <w:sz w:val="24"/>
          <w:szCs w:val="24"/>
          <w:shd w:val="clear" w:color="auto" w:fill="FFFFFF"/>
        </w:rPr>
        <w:tab/>
        <w:t>disparate impact. </w:t>
      </w:r>
      <w:r w:rsidRPr="003002C1">
        <w:rPr>
          <w:rFonts w:ascii="Times New Roman" w:hAnsi="Times New Roman" w:cs="Times New Roman"/>
          <w:i/>
          <w:iCs/>
          <w:sz w:val="24"/>
          <w:szCs w:val="24"/>
          <w:shd w:val="clear" w:color="auto" w:fill="FFFFFF"/>
        </w:rPr>
        <w:t>Criminology</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54</w:t>
      </w:r>
      <w:r w:rsidRPr="003002C1">
        <w:rPr>
          <w:rFonts w:ascii="Times New Roman" w:hAnsi="Times New Roman" w:cs="Times New Roman"/>
          <w:sz w:val="24"/>
          <w:szCs w:val="24"/>
          <w:shd w:val="clear" w:color="auto" w:fill="FFFFFF"/>
        </w:rPr>
        <w:t>(4), 680-712.</w:t>
      </w:r>
    </w:p>
    <w:p w14:paraId="21F87130" w14:textId="77777777" w:rsidR="00CA3863" w:rsidRPr="003002C1" w:rsidRDefault="00CA3863" w:rsidP="00CA3863">
      <w:pPr>
        <w:rPr>
          <w:rFonts w:ascii="Times New Roman" w:hAnsi="Times New Roman" w:cs="Times New Roman"/>
          <w:sz w:val="24"/>
          <w:szCs w:val="24"/>
          <w:shd w:val="clear" w:color="auto" w:fill="FFFFFF"/>
        </w:rPr>
      </w:pPr>
      <w:r w:rsidRPr="003002C1">
        <w:rPr>
          <w:rFonts w:ascii="Times New Roman" w:hAnsi="Times New Roman" w:cs="Times New Roman"/>
          <w:sz w:val="24"/>
          <w:szCs w:val="24"/>
          <w:shd w:val="clear" w:color="auto" w:fill="FFFFFF"/>
        </w:rPr>
        <w:t xml:space="preserve">Skeem, J., Monahan, J., &amp; Lowenkamp, C. (2016). Gender, risk assessment, and sanctioning: </w:t>
      </w:r>
      <w:r w:rsidRPr="003002C1">
        <w:rPr>
          <w:rFonts w:ascii="Times New Roman" w:hAnsi="Times New Roman" w:cs="Times New Roman"/>
          <w:sz w:val="24"/>
          <w:szCs w:val="24"/>
          <w:shd w:val="clear" w:color="auto" w:fill="FFFFFF"/>
        </w:rPr>
        <w:tab/>
        <w:t>The cost of treating women like men. </w:t>
      </w:r>
      <w:r w:rsidRPr="003002C1">
        <w:rPr>
          <w:rFonts w:ascii="Times New Roman" w:hAnsi="Times New Roman" w:cs="Times New Roman"/>
          <w:i/>
          <w:iCs/>
          <w:sz w:val="24"/>
          <w:szCs w:val="24"/>
          <w:shd w:val="clear" w:color="auto" w:fill="FFFFFF"/>
        </w:rPr>
        <w:t>Law and human behavior</w:t>
      </w:r>
      <w:r w:rsidRPr="003002C1">
        <w:rPr>
          <w:rFonts w:ascii="Times New Roman" w:hAnsi="Times New Roman" w:cs="Times New Roman"/>
          <w:sz w:val="24"/>
          <w:szCs w:val="24"/>
          <w:shd w:val="clear" w:color="auto" w:fill="FFFFFF"/>
        </w:rPr>
        <w:t>, </w:t>
      </w:r>
      <w:r w:rsidRPr="003002C1">
        <w:rPr>
          <w:rFonts w:ascii="Times New Roman" w:hAnsi="Times New Roman" w:cs="Times New Roman"/>
          <w:i/>
          <w:iCs/>
          <w:sz w:val="24"/>
          <w:szCs w:val="24"/>
          <w:shd w:val="clear" w:color="auto" w:fill="FFFFFF"/>
        </w:rPr>
        <w:t>40</w:t>
      </w:r>
      <w:r w:rsidRPr="003002C1">
        <w:rPr>
          <w:rFonts w:ascii="Times New Roman" w:hAnsi="Times New Roman" w:cs="Times New Roman"/>
          <w:sz w:val="24"/>
          <w:szCs w:val="24"/>
          <w:shd w:val="clear" w:color="auto" w:fill="FFFFFF"/>
        </w:rPr>
        <w:t>(5), 580.</w:t>
      </w:r>
    </w:p>
    <w:p w14:paraId="531B0B50" w14:textId="77777777" w:rsidR="00CA3863" w:rsidRPr="003002C1" w:rsidRDefault="00CA3863" w:rsidP="00CA3863">
      <w:pPr>
        <w:rPr>
          <w:rFonts w:ascii="Times New Roman" w:hAnsi="Times New Roman" w:cs="Times New Roman"/>
          <w:b/>
          <w:bCs/>
          <w:sz w:val="24"/>
          <w:szCs w:val="24"/>
        </w:rPr>
      </w:pPr>
    </w:p>
    <w:p w14:paraId="4F8DE3D6" w14:textId="77777777" w:rsidR="00CA3863" w:rsidRPr="003002C1" w:rsidRDefault="00CA3863" w:rsidP="00CA3863">
      <w:pPr>
        <w:jc w:val="both"/>
        <w:rPr>
          <w:rFonts w:ascii="Times New Roman" w:hAnsi="Times New Roman" w:cs="Times New Roman"/>
          <w:sz w:val="24"/>
          <w:szCs w:val="24"/>
        </w:rPr>
      </w:pPr>
    </w:p>
    <w:p w14:paraId="116A788A" w14:textId="77777777" w:rsidR="00CA3863" w:rsidRPr="003002C1" w:rsidRDefault="00CA3863" w:rsidP="00CA3863">
      <w:pPr>
        <w:jc w:val="both"/>
        <w:rPr>
          <w:rFonts w:ascii="Times New Roman" w:eastAsia="Times New Roman" w:hAnsi="Times New Roman" w:cs="Times New Roman"/>
          <w:sz w:val="24"/>
          <w:szCs w:val="24"/>
        </w:rPr>
      </w:pPr>
    </w:p>
    <w:p w14:paraId="3C9EF9E9" w14:textId="77777777" w:rsidR="00CA3863" w:rsidRPr="003002C1" w:rsidRDefault="00CA3863" w:rsidP="00CA3863">
      <w:pPr>
        <w:jc w:val="both"/>
        <w:rPr>
          <w:rFonts w:ascii="Times New Roman" w:hAnsi="Times New Roman" w:cs="Times New Roman"/>
          <w:b/>
          <w:bCs/>
          <w:color w:val="4472C4" w:themeColor="accent1"/>
          <w:sz w:val="24"/>
          <w:szCs w:val="24"/>
        </w:rPr>
      </w:pPr>
    </w:p>
    <w:p w14:paraId="21126198" w14:textId="5936BD17" w:rsidR="001C6252" w:rsidRDefault="001C6252" w:rsidP="008D0C7F">
      <w:pPr>
        <w:rPr>
          <w:rFonts w:ascii="Times New Roman" w:hAnsi="Times New Roman" w:cs="Times New Roman"/>
          <w:sz w:val="24"/>
          <w:szCs w:val="24"/>
        </w:rPr>
      </w:pPr>
    </w:p>
    <w:p w14:paraId="2400F007" w14:textId="5304F9C2" w:rsidR="001C6252" w:rsidRDefault="001C6252" w:rsidP="008D0C7F">
      <w:pPr>
        <w:rPr>
          <w:rFonts w:ascii="Times New Roman" w:hAnsi="Times New Roman" w:cs="Times New Roman"/>
          <w:sz w:val="24"/>
          <w:szCs w:val="24"/>
        </w:rPr>
      </w:pPr>
    </w:p>
    <w:p w14:paraId="36D00C63" w14:textId="274341CC" w:rsidR="003766FF" w:rsidRDefault="003766FF" w:rsidP="008D0C7F">
      <w:pPr>
        <w:rPr>
          <w:rFonts w:ascii="Times New Roman" w:hAnsi="Times New Roman" w:cs="Times New Roman"/>
          <w:sz w:val="24"/>
          <w:szCs w:val="24"/>
        </w:rPr>
      </w:pPr>
    </w:p>
    <w:p w14:paraId="5A3FFA56" w14:textId="63739D2A" w:rsidR="00057534" w:rsidRDefault="00057534" w:rsidP="008D0C7F">
      <w:pPr>
        <w:rPr>
          <w:rFonts w:ascii="Times New Roman" w:hAnsi="Times New Roman" w:cs="Times New Roman"/>
          <w:sz w:val="24"/>
          <w:szCs w:val="24"/>
        </w:rPr>
      </w:pPr>
    </w:p>
    <w:p w14:paraId="656151FC" w14:textId="619328CE" w:rsidR="00057534" w:rsidRDefault="00057534" w:rsidP="008D0C7F">
      <w:pPr>
        <w:rPr>
          <w:rFonts w:ascii="Times New Roman" w:hAnsi="Times New Roman" w:cs="Times New Roman"/>
          <w:sz w:val="24"/>
          <w:szCs w:val="24"/>
        </w:rPr>
      </w:pPr>
    </w:p>
    <w:p w14:paraId="65915521" w14:textId="137BBB37" w:rsidR="00057534" w:rsidRDefault="00057534" w:rsidP="008D0C7F">
      <w:pPr>
        <w:rPr>
          <w:rFonts w:ascii="Times New Roman" w:hAnsi="Times New Roman" w:cs="Times New Roman"/>
          <w:sz w:val="24"/>
          <w:szCs w:val="24"/>
        </w:rPr>
      </w:pPr>
    </w:p>
    <w:p w14:paraId="0CC9F9DC" w14:textId="3B832E56" w:rsidR="00057534" w:rsidRDefault="00057534" w:rsidP="008D0C7F">
      <w:pPr>
        <w:rPr>
          <w:rFonts w:ascii="Times New Roman" w:hAnsi="Times New Roman" w:cs="Times New Roman"/>
          <w:sz w:val="24"/>
          <w:szCs w:val="24"/>
        </w:rPr>
      </w:pPr>
    </w:p>
    <w:p w14:paraId="329562AC" w14:textId="27F73AA0" w:rsidR="00057534" w:rsidRDefault="00057534" w:rsidP="008D0C7F">
      <w:pPr>
        <w:rPr>
          <w:rFonts w:ascii="Times New Roman" w:hAnsi="Times New Roman" w:cs="Times New Roman"/>
          <w:sz w:val="24"/>
          <w:szCs w:val="24"/>
        </w:rPr>
      </w:pPr>
    </w:p>
    <w:p w14:paraId="5290D34E" w14:textId="1907469B" w:rsidR="00057534" w:rsidRDefault="00057534" w:rsidP="008D0C7F">
      <w:pPr>
        <w:rPr>
          <w:rFonts w:ascii="Times New Roman" w:hAnsi="Times New Roman" w:cs="Times New Roman"/>
          <w:sz w:val="24"/>
          <w:szCs w:val="24"/>
        </w:rPr>
      </w:pPr>
    </w:p>
    <w:p w14:paraId="472C7808" w14:textId="1005AEF0" w:rsidR="00057534" w:rsidRDefault="00057534" w:rsidP="008D0C7F">
      <w:pPr>
        <w:rPr>
          <w:rFonts w:ascii="Times New Roman" w:hAnsi="Times New Roman" w:cs="Times New Roman"/>
          <w:sz w:val="24"/>
          <w:szCs w:val="24"/>
        </w:rPr>
      </w:pPr>
    </w:p>
    <w:p w14:paraId="5F0B11D0" w14:textId="77777777" w:rsidR="00057534" w:rsidRDefault="00057534" w:rsidP="00057534">
      <w:pPr>
        <w:jc w:val="center"/>
        <w:rPr>
          <w:rFonts w:ascii="Times New Roman" w:hAnsi="Times New Roman" w:cs="Times New Roman"/>
          <w:sz w:val="24"/>
          <w:szCs w:val="24"/>
        </w:rPr>
      </w:pPr>
    </w:p>
    <w:p w14:paraId="007C63E9" w14:textId="77777777" w:rsidR="00057534" w:rsidRDefault="00057534" w:rsidP="00057534">
      <w:pPr>
        <w:jc w:val="center"/>
        <w:rPr>
          <w:rFonts w:ascii="Times New Roman" w:hAnsi="Times New Roman" w:cs="Times New Roman"/>
          <w:sz w:val="24"/>
          <w:szCs w:val="24"/>
        </w:rPr>
      </w:pPr>
    </w:p>
    <w:p w14:paraId="1D599D0E" w14:textId="77777777" w:rsidR="00057534" w:rsidRDefault="00057534" w:rsidP="00057534">
      <w:pPr>
        <w:jc w:val="center"/>
        <w:rPr>
          <w:rFonts w:ascii="Times New Roman" w:hAnsi="Times New Roman" w:cs="Times New Roman"/>
          <w:sz w:val="24"/>
          <w:szCs w:val="24"/>
        </w:rPr>
      </w:pPr>
    </w:p>
    <w:p w14:paraId="79BC3F39" w14:textId="77777777" w:rsidR="00057534" w:rsidRDefault="00057534" w:rsidP="00057534">
      <w:pPr>
        <w:jc w:val="center"/>
        <w:rPr>
          <w:rFonts w:ascii="Times New Roman" w:hAnsi="Times New Roman" w:cs="Times New Roman"/>
          <w:sz w:val="24"/>
          <w:szCs w:val="24"/>
        </w:rPr>
      </w:pPr>
    </w:p>
    <w:p w14:paraId="322EB3A8" w14:textId="77777777" w:rsidR="00057534" w:rsidRDefault="00057534" w:rsidP="00057534">
      <w:pPr>
        <w:jc w:val="center"/>
        <w:rPr>
          <w:rFonts w:ascii="Times New Roman" w:hAnsi="Times New Roman" w:cs="Times New Roman"/>
          <w:sz w:val="24"/>
          <w:szCs w:val="24"/>
        </w:rPr>
      </w:pPr>
    </w:p>
    <w:p w14:paraId="06B78399" w14:textId="77777777" w:rsidR="00057534" w:rsidRDefault="00057534" w:rsidP="00057534">
      <w:pPr>
        <w:jc w:val="center"/>
        <w:rPr>
          <w:rFonts w:ascii="Times New Roman" w:hAnsi="Times New Roman" w:cs="Times New Roman"/>
          <w:sz w:val="24"/>
          <w:szCs w:val="24"/>
        </w:rPr>
      </w:pPr>
    </w:p>
    <w:p w14:paraId="11575600" w14:textId="77777777" w:rsidR="00057534" w:rsidRDefault="00057534" w:rsidP="00057534">
      <w:pPr>
        <w:jc w:val="center"/>
        <w:rPr>
          <w:rFonts w:ascii="Times New Roman" w:hAnsi="Times New Roman" w:cs="Times New Roman"/>
          <w:sz w:val="24"/>
          <w:szCs w:val="24"/>
        </w:rPr>
      </w:pPr>
    </w:p>
    <w:p w14:paraId="14DCF5CB" w14:textId="77777777" w:rsidR="00057534" w:rsidRDefault="00057534" w:rsidP="00057534">
      <w:pPr>
        <w:jc w:val="center"/>
        <w:rPr>
          <w:rFonts w:ascii="Times New Roman" w:hAnsi="Times New Roman" w:cs="Times New Roman"/>
          <w:sz w:val="24"/>
          <w:szCs w:val="24"/>
        </w:rPr>
      </w:pPr>
    </w:p>
    <w:p w14:paraId="31BEEDF4" w14:textId="77777777" w:rsidR="00057534" w:rsidRDefault="00057534" w:rsidP="00057534">
      <w:pPr>
        <w:jc w:val="center"/>
        <w:rPr>
          <w:rFonts w:ascii="Times New Roman" w:hAnsi="Times New Roman" w:cs="Times New Roman"/>
          <w:sz w:val="24"/>
          <w:szCs w:val="24"/>
        </w:rPr>
      </w:pPr>
    </w:p>
    <w:p w14:paraId="2562BD61" w14:textId="77777777" w:rsidR="00057534" w:rsidRDefault="00057534" w:rsidP="00057534">
      <w:pPr>
        <w:jc w:val="center"/>
        <w:rPr>
          <w:rFonts w:ascii="Times New Roman" w:hAnsi="Times New Roman" w:cs="Times New Roman"/>
          <w:sz w:val="24"/>
          <w:szCs w:val="24"/>
        </w:rPr>
      </w:pPr>
    </w:p>
    <w:p w14:paraId="4FCD2AF8" w14:textId="04BB6D74" w:rsidR="00057534" w:rsidRPr="00E61F97" w:rsidRDefault="00057534" w:rsidP="00057534">
      <w:pPr>
        <w:jc w:val="center"/>
        <w:rPr>
          <w:rFonts w:ascii="Times New Roman" w:hAnsi="Times New Roman" w:cs="Times New Roman"/>
          <w:sz w:val="24"/>
          <w:szCs w:val="24"/>
        </w:rPr>
      </w:pPr>
      <w:r w:rsidRPr="00E61F97">
        <w:rPr>
          <w:rFonts w:ascii="Times New Roman" w:hAnsi="Times New Roman" w:cs="Times New Roman"/>
          <w:sz w:val="24"/>
          <w:szCs w:val="24"/>
        </w:rPr>
        <w:t xml:space="preserve">For any report questions please contact Earl Montilla at </w:t>
      </w:r>
      <w:hyperlink r:id="rId29" w:history="1">
        <w:r w:rsidRPr="00E61F97">
          <w:rPr>
            <w:rStyle w:val="Hyperlink"/>
            <w:rFonts w:ascii="Times New Roman" w:hAnsi="Times New Roman" w:cs="Times New Roman"/>
            <w:sz w:val="24"/>
            <w:szCs w:val="24"/>
          </w:rPr>
          <w:t>EMontilla@solanocounty.com</w:t>
        </w:r>
      </w:hyperlink>
    </w:p>
    <w:p w14:paraId="4514F378" w14:textId="77777777" w:rsidR="00057534" w:rsidRPr="008D0C7F" w:rsidRDefault="00057534" w:rsidP="008D0C7F">
      <w:pPr>
        <w:rPr>
          <w:rFonts w:ascii="Times New Roman" w:hAnsi="Times New Roman" w:cs="Times New Roman"/>
          <w:sz w:val="24"/>
          <w:szCs w:val="24"/>
        </w:rPr>
      </w:pPr>
    </w:p>
    <w:sectPr w:rsidR="00057534" w:rsidRPr="008D0C7F" w:rsidSect="00F0470D">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B0A0F" w14:textId="77777777" w:rsidR="00F37EFA" w:rsidRDefault="00F37EFA">
      <w:pPr>
        <w:spacing w:after="0" w:line="240" w:lineRule="auto"/>
      </w:pPr>
      <w:r>
        <w:separator/>
      </w:r>
    </w:p>
  </w:endnote>
  <w:endnote w:type="continuationSeparator" w:id="0">
    <w:p w14:paraId="5643EB61" w14:textId="77777777" w:rsidR="00F37EFA" w:rsidRDefault="00F3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621933"/>
      <w:docPartObj>
        <w:docPartGallery w:val="Page Numbers (Bottom of Page)"/>
        <w:docPartUnique/>
      </w:docPartObj>
    </w:sdtPr>
    <w:sdtEndPr>
      <w:rPr>
        <w:color w:val="7F7F7F" w:themeColor="background1" w:themeShade="7F"/>
        <w:spacing w:val="60"/>
      </w:rPr>
    </w:sdtEndPr>
    <w:sdtContent>
      <w:p w14:paraId="5C76376B" w14:textId="28EE8626" w:rsidR="005C3839" w:rsidRDefault="00F1759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97D684" w14:textId="77777777" w:rsidR="005C3839" w:rsidRDefault="005C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DB77" w14:textId="77777777" w:rsidR="00F37EFA" w:rsidRDefault="00F37EFA" w:rsidP="009672A8">
      <w:pPr>
        <w:spacing w:after="0" w:line="240" w:lineRule="auto"/>
      </w:pPr>
      <w:r>
        <w:separator/>
      </w:r>
    </w:p>
  </w:footnote>
  <w:footnote w:type="continuationSeparator" w:id="0">
    <w:p w14:paraId="7967ADE7" w14:textId="77777777" w:rsidR="00F37EFA" w:rsidRDefault="00F37EFA" w:rsidP="009672A8">
      <w:pPr>
        <w:spacing w:after="0" w:line="240" w:lineRule="auto"/>
      </w:pPr>
      <w:r>
        <w:continuationSeparator/>
      </w:r>
    </w:p>
  </w:footnote>
  <w:footnote w:id="1">
    <w:p w14:paraId="3C6DA6C5" w14:textId="60D95391" w:rsidR="004413AD" w:rsidRPr="00EE4D3A" w:rsidRDefault="004413AD">
      <w:pPr>
        <w:pStyle w:val="FootnoteText"/>
        <w:rPr>
          <w:rFonts w:ascii="Times New Roman" w:hAnsi="Times New Roman" w:cs="Times New Roman"/>
        </w:rPr>
      </w:pPr>
      <w:r w:rsidRPr="00EE4D3A">
        <w:rPr>
          <w:rStyle w:val="FootnoteReference"/>
          <w:rFonts w:ascii="Times New Roman" w:hAnsi="Times New Roman" w:cs="Times New Roman"/>
        </w:rPr>
        <w:footnoteRef/>
      </w:r>
      <w:r w:rsidRPr="00EE4D3A">
        <w:rPr>
          <w:rFonts w:ascii="Times New Roman" w:hAnsi="Times New Roman" w:cs="Times New Roman"/>
        </w:rPr>
        <w:t xml:space="preserve"> In this report white is intentionally not capitalized. </w:t>
      </w:r>
      <w:r w:rsidR="00D461C9" w:rsidRPr="00EE4D3A">
        <w:rPr>
          <w:rFonts w:ascii="Times New Roman" w:hAnsi="Times New Roman" w:cs="Times New Roman"/>
        </w:rPr>
        <w:t>Because white is often associated with</w:t>
      </w:r>
      <w:r w:rsidR="00C9339F" w:rsidRPr="00EE4D3A">
        <w:rPr>
          <w:rFonts w:ascii="Times New Roman" w:hAnsi="Times New Roman" w:cs="Times New Roman"/>
        </w:rPr>
        <w:t xml:space="preserve"> white supremacy rather than a culture, white is lowercase and other race and ethnicities are capitalized. https://www.theatlantic.com/ideas/archive/2020/06/time-to-capitalize-blackand-white/613159/</w:t>
      </w:r>
    </w:p>
  </w:footnote>
  <w:footnote w:id="2">
    <w:p w14:paraId="57ACFCD6" w14:textId="77777777" w:rsidR="009672A8" w:rsidRPr="00EE4D3A" w:rsidRDefault="00F17597" w:rsidP="009672A8">
      <w:pPr>
        <w:pStyle w:val="FootnoteText1"/>
        <w:rPr>
          <w:rFonts w:ascii="Times New Roman" w:hAnsi="Times New Roman" w:cs="Times New Roman"/>
          <w:b w:val="0"/>
          <w:bCs/>
          <w:color w:val="auto"/>
        </w:rPr>
      </w:pPr>
      <w:r w:rsidRPr="00EE4D3A">
        <w:rPr>
          <w:rStyle w:val="FootnoteReference"/>
          <w:rFonts w:ascii="Times New Roman" w:hAnsi="Times New Roman" w:cs="Times New Roman"/>
          <w:b w:val="0"/>
          <w:bCs/>
          <w:color w:val="auto"/>
        </w:rPr>
        <w:footnoteRef/>
      </w:r>
      <w:r w:rsidRPr="00EE4D3A">
        <w:rPr>
          <w:rFonts w:ascii="Times New Roman" w:hAnsi="Times New Roman" w:cs="Times New Roman"/>
          <w:b w:val="0"/>
          <w:bCs/>
          <w:color w:val="auto"/>
        </w:rPr>
        <w:t xml:space="preserve"> Latine is the current terminology used to identify the Latino Community as an all-gender and sexual orientation inclusiveness. This 2019 dataset it comprised of "Hispanic" and Mexican as subcategories. </w:t>
      </w:r>
    </w:p>
  </w:footnote>
  <w:footnote w:id="3">
    <w:p w14:paraId="226C87C5" w14:textId="57279AA3" w:rsidR="009672A8" w:rsidRDefault="00F17597" w:rsidP="009672A8">
      <w:pPr>
        <w:pStyle w:val="FootnoteText1"/>
      </w:pPr>
      <w:r w:rsidRPr="00EE4D3A">
        <w:rPr>
          <w:rStyle w:val="FootnoteReference"/>
          <w:rFonts w:ascii="Times New Roman" w:hAnsi="Times New Roman" w:cs="Times New Roman"/>
          <w:b w:val="0"/>
          <w:bCs/>
          <w:color w:val="auto"/>
        </w:rPr>
        <w:footnoteRef/>
      </w:r>
      <w:r w:rsidR="00B72DE8" w:rsidRPr="00EE4D3A">
        <w:rPr>
          <w:rFonts w:ascii="Times New Roman" w:hAnsi="Times New Roman" w:cs="Times New Roman"/>
          <w:b w:val="0"/>
          <w:bCs/>
          <w:color w:val="auto"/>
        </w:rPr>
        <w:t xml:space="preserve"> Solano allows individuals to self-identify. Therefore, for </w:t>
      </w:r>
      <w:r w:rsidR="00C3399A" w:rsidRPr="00EE4D3A">
        <w:rPr>
          <w:rFonts w:ascii="Times New Roman" w:hAnsi="Times New Roman" w:cs="Times New Roman"/>
          <w:b w:val="0"/>
          <w:bCs/>
          <w:color w:val="auto"/>
        </w:rPr>
        <w:t>2019 data</w:t>
      </w:r>
      <w:r w:rsidRPr="00EE4D3A">
        <w:rPr>
          <w:rFonts w:ascii="Times New Roman" w:hAnsi="Times New Roman" w:cs="Times New Roman"/>
          <w:b w:val="0"/>
          <w:bCs/>
          <w:color w:val="auto"/>
        </w:rPr>
        <w:t xml:space="preserve">, </w:t>
      </w:r>
      <w:r w:rsidR="00C3399A" w:rsidRPr="00EE4D3A">
        <w:rPr>
          <w:rFonts w:ascii="Times New Roman" w:hAnsi="Times New Roman" w:cs="Times New Roman"/>
          <w:b w:val="0"/>
          <w:bCs/>
          <w:color w:val="auto"/>
        </w:rPr>
        <w:t>t</w:t>
      </w:r>
      <w:r w:rsidRPr="00EE4D3A">
        <w:rPr>
          <w:rFonts w:ascii="Times New Roman" w:hAnsi="Times New Roman" w:cs="Times New Roman"/>
          <w:b w:val="0"/>
          <w:bCs/>
          <w:color w:val="auto"/>
        </w:rPr>
        <w:t>he category for Asian is comprised of Asian Indian, Filipino, Japanese, Korean, Hawaiian, Pacific Islander, Samoa, and Vietnamese</w:t>
      </w:r>
      <w:r w:rsidR="00C3399A" w:rsidRPr="00EE4D3A">
        <w:rPr>
          <w:rFonts w:ascii="Times New Roman" w:hAnsi="Times New Roman" w:cs="Times New Roman"/>
          <w:b w:val="0"/>
          <w:bCs/>
          <w:color w:val="auto"/>
        </w:rPr>
        <w:t xml:space="preserve">. </w:t>
      </w:r>
    </w:p>
  </w:footnote>
  <w:footnote w:id="4">
    <w:p w14:paraId="7BC7FF7E" w14:textId="750A0DD8" w:rsidR="00C404C4" w:rsidRPr="00EE4D3A" w:rsidRDefault="00F17597">
      <w:pPr>
        <w:pStyle w:val="FootnoteText"/>
        <w:rPr>
          <w:rFonts w:ascii="Times New Roman" w:hAnsi="Times New Roman" w:cs="Times New Roman"/>
        </w:rPr>
      </w:pPr>
      <w:r w:rsidRPr="00EE4D3A">
        <w:rPr>
          <w:rStyle w:val="FootnoteReference"/>
          <w:rFonts w:ascii="Times New Roman" w:hAnsi="Times New Roman" w:cs="Times New Roman"/>
        </w:rPr>
        <w:footnoteRef/>
      </w:r>
      <w:r w:rsidRPr="00EE4D3A">
        <w:rPr>
          <w:rFonts w:ascii="Times New Roman" w:hAnsi="Times New Roman" w:cs="Times New Roman"/>
        </w:rPr>
        <w:t xml:space="preserve"> Solano Probation is currently unable to track this information. The county is working to retrieve this information and will report it once it has updated</w:t>
      </w:r>
      <w:r w:rsidR="008D1502" w:rsidRPr="00EE4D3A">
        <w:rPr>
          <w:rFonts w:ascii="Times New Roman" w:hAnsi="Times New Roman" w:cs="Times New Roman"/>
        </w:rPr>
        <w:t xml:space="preserve"> data. </w:t>
      </w:r>
    </w:p>
  </w:footnote>
  <w:footnote w:id="5">
    <w:p w14:paraId="7FF7EA46" w14:textId="24E04CDB" w:rsidR="00E40785" w:rsidRPr="00EE4D3A" w:rsidRDefault="00E40785">
      <w:pPr>
        <w:pStyle w:val="FootnoteText"/>
        <w:rPr>
          <w:rFonts w:ascii="Times New Roman" w:hAnsi="Times New Roman" w:cs="Times New Roman"/>
        </w:rPr>
      </w:pPr>
      <w:r w:rsidRPr="00EE4D3A">
        <w:rPr>
          <w:rStyle w:val="FootnoteReference"/>
          <w:rFonts w:ascii="Times New Roman" w:hAnsi="Times New Roman" w:cs="Times New Roman"/>
        </w:rPr>
        <w:footnoteRef/>
      </w:r>
      <w:r w:rsidRPr="00EE4D3A">
        <w:rPr>
          <w:rFonts w:ascii="Times New Roman" w:hAnsi="Times New Roman" w:cs="Times New Roman"/>
        </w:rPr>
        <w:t xml:space="preserve"> </w:t>
      </w:r>
      <w:r w:rsidR="00656DA8" w:rsidRPr="00EE4D3A">
        <w:rPr>
          <w:rFonts w:ascii="Times New Roman" w:hAnsi="Times New Roman" w:cs="Times New Roman"/>
        </w:rPr>
        <w:t xml:space="preserve">At this moment Solano Probation Department utilizes the risk level to inform supervision however </w:t>
      </w:r>
      <w:r w:rsidR="007F4A69" w:rsidRPr="00EE4D3A">
        <w:rPr>
          <w:rFonts w:ascii="Times New Roman" w:hAnsi="Times New Roman" w:cs="Times New Roman"/>
        </w:rPr>
        <w:t xml:space="preserve">supervision levels </w:t>
      </w:r>
      <w:r w:rsidR="007A4100" w:rsidRPr="00EE4D3A">
        <w:rPr>
          <w:rFonts w:ascii="Times New Roman" w:hAnsi="Times New Roman" w:cs="Times New Roman"/>
        </w:rPr>
        <w:t xml:space="preserve">were not on the data set provided but will be included in future analysis. </w:t>
      </w:r>
    </w:p>
  </w:footnote>
  <w:footnote w:id="6">
    <w:p w14:paraId="6CB62866" w14:textId="77777777" w:rsidR="009C30AE" w:rsidRPr="00941CDC" w:rsidRDefault="009C30AE" w:rsidP="009C30AE">
      <w:pPr>
        <w:pStyle w:val="FootnoteText1"/>
        <w:rPr>
          <w:rFonts w:ascii="Times New Roman" w:hAnsi="Times New Roman" w:cs="Times New Roman"/>
          <w:b w:val="0"/>
          <w:bCs/>
          <w:color w:val="auto"/>
        </w:rPr>
      </w:pPr>
      <w:r w:rsidRPr="00941CDC">
        <w:rPr>
          <w:rStyle w:val="FootnoteReference"/>
          <w:rFonts w:ascii="Times New Roman" w:hAnsi="Times New Roman" w:cs="Times New Roman"/>
          <w:b w:val="0"/>
          <w:bCs/>
          <w:color w:val="auto"/>
        </w:rPr>
        <w:footnoteRef/>
      </w:r>
      <w:r w:rsidRPr="00941CDC">
        <w:rPr>
          <w:rFonts w:ascii="Times New Roman" w:hAnsi="Times New Roman" w:cs="Times New Roman"/>
          <w:b w:val="0"/>
          <w:bCs/>
          <w:color w:val="auto"/>
        </w:rPr>
        <w:t xml:space="preserve"> Latine is the current terminology used to identify the Latino Community as an all-gender and sexual orientation inclusiveness. This 2020 dataset is comprised of "Hispanic" and Mexican as subcategories. </w:t>
      </w:r>
    </w:p>
  </w:footnote>
  <w:footnote w:id="7">
    <w:p w14:paraId="2338CFBE" w14:textId="77777777" w:rsidR="009C30AE" w:rsidRDefault="009C30AE" w:rsidP="009C30AE">
      <w:pPr>
        <w:pStyle w:val="FootnoteText1"/>
      </w:pPr>
      <w:r w:rsidRPr="00941CDC">
        <w:rPr>
          <w:rStyle w:val="FootnoteReference"/>
          <w:rFonts w:ascii="Times New Roman" w:hAnsi="Times New Roman" w:cs="Times New Roman"/>
          <w:b w:val="0"/>
          <w:bCs/>
          <w:color w:val="auto"/>
        </w:rPr>
        <w:footnoteRef/>
      </w:r>
      <w:r>
        <w:rPr>
          <w:rFonts w:ascii="Times New Roman" w:hAnsi="Times New Roman" w:cs="Times New Roman"/>
          <w:b w:val="0"/>
          <w:bCs/>
          <w:color w:val="auto"/>
        </w:rPr>
        <w:t xml:space="preserve"> Solano allows individuals to self-identify. Therefore, for 2020 data</w:t>
      </w:r>
      <w:r w:rsidRPr="00941CDC">
        <w:rPr>
          <w:rFonts w:ascii="Times New Roman" w:hAnsi="Times New Roman" w:cs="Times New Roman"/>
          <w:b w:val="0"/>
          <w:bCs/>
          <w:color w:val="auto"/>
        </w:rPr>
        <w:t xml:space="preserve">, </w:t>
      </w:r>
      <w:r>
        <w:rPr>
          <w:rFonts w:ascii="Times New Roman" w:hAnsi="Times New Roman" w:cs="Times New Roman"/>
          <w:b w:val="0"/>
          <w:bCs/>
          <w:color w:val="auto"/>
        </w:rPr>
        <w:t>t</w:t>
      </w:r>
      <w:r w:rsidRPr="00941CDC">
        <w:rPr>
          <w:rFonts w:ascii="Times New Roman" w:hAnsi="Times New Roman" w:cs="Times New Roman"/>
          <w:b w:val="0"/>
          <w:bCs/>
          <w:color w:val="auto"/>
        </w:rPr>
        <w:t xml:space="preserve">he category for Asian is comprised of Asian Indian, Filipino, </w:t>
      </w:r>
      <w:r>
        <w:rPr>
          <w:rFonts w:ascii="Times New Roman" w:hAnsi="Times New Roman" w:cs="Times New Roman"/>
          <w:b w:val="0"/>
          <w:bCs/>
          <w:color w:val="auto"/>
        </w:rPr>
        <w:t>Cambodian</w:t>
      </w:r>
      <w:r w:rsidRPr="00941CDC">
        <w:rPr>
          <w:rFonts w:ascii="Times New Roman" w:hAnsi="Times New Roman" w:cs="Times New Roman"/>
          <w:b w:val="0"/>
          <w:bCs/>
          <w:color w:val="auto"/>
        </w:rPr>
        <w:t xml:space="preserve">, Korean, Hawaiian, Pacific Islander, and </w:t>
      </w:r>
      <w:r>
        <w:rPr>
          <w:rFonts w:ascii="Times New Roman" w:hAnsi="Times New Roman" w:cs="Times New Roman"/>
          <w:b w:val="0"/>
          <w:bCs/>
          <w:color w:val="auto"/>
        </w:rPr>
        <w:t xml:space="preserve">Laotian. </w:t>
      </w:r>
    </w:p>
  </w:footnote>
  <w:footnote w:id="8">
    <w:p w14:paraId="55866D49" w14:textId="7DCE57B6" w:rsidR="009C30AE" w:rsidRPr="00EE4D3A" w:rsidRDefault="009C30AE" w:rsidP="009C30AE">
      <w:pPr>
        <w:pStyle w:val="FootnoteText"/>
        <w:rPr>
          <w:rFonts w:ascii="Times New Roman" w:hAnsi="Times New Roman" w:cs="Times New Roman"/>
        </w:rPr>
      </w:pPr>
      <w:r w:rsidRPr="00EE4D3A">
        <w:rPr>
          <w:rStyle w:val="FootnoteReference"/>
          <w:rFonts w:ascii="Times New Roman" w:hAnsi="Times New Roman" w:cs="Times New Roman"/>
        </w:rPr>
        <w:footnoteRef/>
      </w:r>
      <w:r w:rsidRPr="00EE4D3A">
        <w:rPr>
          <w:rFonts w:ascii="Times New Roman" w:hAnsi="Times New Roman" w:cs="Times New Roman"/>
        </w:rPr>
        <w:t xml:space="preserve"> </w:t>
      </w:r>
      <w:r w:rsidR="009F20D3" w:rsidRPr="00EE4D3A">
        <w:rPr>
          <w:rFonts w:ascii="Times New Roman" w:hAnsi="Times New Roman" w:cs="Times New Roman"/>
        </w:rPr>
        <w:t>Charge Level information was unavailable due to Solano County Probation switching to a new case management system in 2020.</w:t>
      </w:r>
    </w:p>
  </w:footnote>
  <w:footnote w:id="9">
    <w:p w14:paraId="0CB330B1" w14:textId="77777777" w:rsidR="00CA3863" w:rsidRPr="007136C2" w:rsidRDefault="00CA3863" w:rsidP="00CA3863">
      <w:pPr>
        <w:pStyle w:val="FootnoteText"/>
        <w:rPr>
          <w:rFonts w:ascii="Times New Roman" w:hAnsi="Times New Roman" w:cs="Times New Roman"/>
        </w:rPr>
      </w:pPr>
      <w:r w:rsidRPr="007136C2">
        <w:rPr>
          <w:rStyle w:val="FootnoteReference"/>
          <w:rFonts w:ascii="Times New Roman" w:hAnsi="Times New Roman" w:cs="Times New Roman"/>
        </w:rPr>
        <w:footnoteRef/>
      </w:r>
      <w:r w:rsidRPr="007136C2">
        <w:rPr>
          <w:rFonts w:ascii="Times New Roman" w:hAnsi="Times New Roman" w:cs="Times New Roman"/>
        </w:rPr>
        <w:t xml:space="preserve">Solano currently changed case management systems and was unable to retrieve individual pretrial item scores.  Once that is accessible, the validation testing of the ORAS-PAT items successfully predicted FTA risk can be conducted. For now, what is validated is the total risk score and variance among risk levels for subgroups. </w:t>
      </w:r>
    </w:p>
  </w:footnote>
  <w:footnote w:id="10">
    <w:p w14:paraId="515FA50E" w14:textId="77777777" w:rsidR="00CA3863" w:rsidRPr="00EB3315" w:rsidRDefault="00CA3863" w:rsidP="00CA3863">
      <w:pPr>
        <w:pStyle w:val="FootnoteText"/>
        <w:rPr>
          <w:rFonts w:ascii="Times New Roman" w:hAnsi="Times New Roman" w:cs="Times New Roman"/>
        </w:rPr>
      </w:pPr>
      <w:r w:rsidRPr="00EB3315">
        <w:rPr>
          <w:rStyle w:val="FootnoteReference"/>
          <w:rFonts w:ascii="Times New Roman" w:hAnsi="Times New Roman" w:cs="Times New Roman"/>
        </w:rPr>
        <w:footnoteRef/>
      </w:r>
      <w:r w:rsidRPr="00EB3315">
        <w:rPr>
          <w:rFonts w:ascii="Times New Roman" w:hAnsi="Times New Roman" w:cs="Times New Roman"/>
        </w:rPr>
        <w:t xml:space="preserve"> Latine is the current terminology used to identify the Latino Community as an all-gender and sexual orientation inclusiveness. It is comprised of "Hispanic" and Mexican as subcategories. </w:t>
      </w:r>
    </w:p>
  </w:footnote>
  <w:footnote w:id="11">
    <w:p w14:paraId="5D4BF11C" w14:textId="77777777" w:rsidR="00CA3863" w:rsidRDefault="00CA3863" w:rsidP="00CA3863">
      <w:pPr>
        <w:pStyle w:val="FootnoteText"/>
      </w:pPr>
      <w:r w:rsidRPr="00EB3315">
        <w:rPr>
          <w:rStyle w:val="FootnoteReference"/>
          <w:rFonts w:ascii="Times New Roman" w:hAnsi="Times New Roman" w:cs="Times New Roman"/>
        </w:rPr>
        <w:footnoteRef/>
      </w:r>
      <w:r w:rsidRPr="00EB3315">
        <w:rPr>
          <w:rFonts w:ascii="Times New Roman" w:hAnsi="Times New Roman" w:cs="Times New Roman"/>
        </w:rPr>
        <w:t xml:space="preserve"> The category for Asian is comprised of Asian Indian, Filipino, Japanese, Korean, Hawaiian, Pacific Islander, Samoa, and Vietnamese</w:t>
      </w:r>
    </w:p>
  </w:footnote>
  <w:footnote w:id="12">
    <w:p w14:paraId="456DB602" w14:textId="77777777" w:rsidR="00CA3863" w:rsidRDefault="00CA3863" w:rsidP="00CA3863">
      <w:pPr>
        <w:pStyle w:val="FootnoteText"/>
      </w:pPr>
      <w:r>
        <w:rPr>
          <w:rStyle w:val="FootnoteReference"/>
        </w:rPr>
        <w:footnoteRef/>
      </w:r>
      <w:r>
        <w:t xml:space="preserve"> Latine is the current terminology used to identify the Latino Community as an all-gender and sexual orientation inclusiveness. It is comprised of "Hispanic" and Mexican as subcategories. </w:t>
      </w:r>
    </w:p>
  </w:footnote>
  <w:footnote w:id="13">
    <w:p w14:paraId="1CEC47B7" w14:textId="77777777" w:rsidR="00CA3863" w:rsidRDefault="00CA3863" w:rsidP="00CA3863">
      <w:pPr>
        <w:pStyle w:val="FootnoteText"/>
      </w:pPr>
      <w:r>
        <w:rPr>
          <w:rStyle w:val="FootnoteReference"/>
        </w:rPr>
        <w:footnoteRef/>
      </w:r>
      <w:r>
        <w:t xml:space="preserve"> The category for Asian is comprised of Asian Indian, Filipino, Japanese, Korean, Hawaiian, Pacific Islander, Samoa, and Vietnamese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832"/>
    <w:multiLevelType w:val="hybridMultilevel"/>
    <w:tmpl w:val="B5FC101A"/>
    <w:lvl w:ilvl="0" w:tplc="4D44A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84FF0"/>
    <w:multiLevelType w:val="hybridMultilevel"/>
    <w:tmpl w:val="987EC184"/>
    <w:lvl w:ilvl="0" w:tplc="C0E6EFB0">
      <w:start w:val="1"/>
      <w:numFmt w:val="decimal"/>
      <w:lvlText w:val="%1."/>
      <w:lvlJc w:val="left"/>
      <w:pPr>
        <w:ind w:left="720" w:hanging="360"/>
      </w:pPr>
      <w:rPr>
        <w:rFonts w:hint="default"/>
      </w:rPr>
    </w:lvl>
    <w:lvl w:ilvl="1" w:tplc="F00EC804" w:tentative="1">
      <w:start w:val="1"/>
      <w:numFmt w:val="lowerLetter"/>
      <w:lvlText w:val="%2."/>
      <w:lvlJc w:val="left"/>
      <w:pPr>
        <w:ind w:left="1440" w:hanging="360"/>
      </w:pPr>
    </w:lvl>
    <w:lvl w:ilvl="2" w:tplc="DD1AB8F6" w:tentative="1">
      <w:start w:val="1"/>
      <w:numFmt w:val="lowerRoman"/>
      <w:lvlText w:val="%3."/>
      <w:lvlJc w:val="right"/>
      <w:pPr>
        <w:ind w:left="2160" w:hanging="180"/>
      </w:pPr>
    </w:lvl>
    <w:lvl w:ilvl="3" w:tplc="499421CA" w:tentative="1">
      <w:start w:val="1"/>
      <w:numFmt w:val="decimal"/>
      <w:lvlText w:val="%4."/>
      <w:lvlJc w:val="left"/>
      <w:pPr>
        <w:ind w:left="2880" w:hanging="360"/>
      </w:pPr>
    </w:lvl>
    <w:lvl w:ilvl="4" w:tplc="9E48C8E2" w:tentative="1">
      <w:start w:val="1"/>
      <w:numFmt w:val="lowerLetter"/>
      <w:lvlText w:val="%5."/>
      <w:lvlJc w:val="left"/>
      <w:pPr>
        <w:ind w:left="3600" w:hanging="360"/>
      </w:pPr>
    </w:lvl>
    <w:lvl w:ilvl="5" w:tplc="1E503166" w:tentative="1">
      <w:start w:val="1"/>
      <w:numFmt w:val="lowerRoman"/>
      <w:lvlText w:val="%6."/>
      <w:lvlJc w:val="right"/>
      <w:pPr>
        <w:ind w:left="4320" w:hanging="180"/>
      </w:pPr>
    </w:lvl>
    <w:lvl w:ilvl="6" w:tplc="9A4860F2" w:tentative="1">
      <w:start w:val="1"/>
      <w:numFmt w:val="decimal"/>
      <w:lvlText w:val="%7."/>
      <w:lvlJc w:val="left"/>
      <w:pPr>
        <w:ind w:left="5040" w:hanging="360"/>
      </w:pPr>
    </w:lvl>
    <w:lvl w:ilvl="7" w:tplc="A0905D6C" w:tentative="1">
      <w:start w:val="1"/>
      <w:numFmt w:val="lowerLetter"/>
      <w:lvlText w:val="%8."/>
      <w:lvlJc w:val="left"/>
      <w:pPr>
        <w:ind w:left="5760" w:hanging="360"/>
      </w:pPr>
    </w:lvl>
    <w:lvl w:ilvl="8" w:tplc="6AC8FD8C" w:tentative="1">
      <w:start w:val="1"/>
      <w:numFmt w:val="lowerRoman"/>
      <w:lvlText w:val="%9."/>
      <w:lvlJc w:val="right"/>
      <w:pPr>
        <w:ind w:left="6480" w:hanging="180"/>
      </w:pPr>
    </w:lvl>
  </w:abstractNum>
  <w:abstractNum w:abstractNumId="2" w15:restartNumberingAfterBreak="0">
    <w:nsid w:val="27146C99"/>
    <w:multiLevelType w:val="hybridMultilevel"/>
    <w:tmpl w:val="E05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689F"/>
    <w:multiLevelType w:val="hybridMultilevel"/>
    <w:tmpl w:val="B5FC101A"/>
    <w:lvl w:ilvl="0" w:tplc="4D44A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F171C"/>
    <w:multiLevelType w:val="hybridMultilevel"/>
    <w:tmpl w:val="6E7A9642"/>
    <w:lvl w:ilvl="0" w:tplc="96188264">
      <w:start w:val="1"/>
      <w:numFmt w:val="bullet"/>
      <w:lvlText w:val=""/>
      <w:lvlJc w:val="left"/>
      <w:pPr>
        <w:ind w:left="720" w:hanging="360"/>
      </w:pPr>
      <w:rPr>
        <w:rFonts w:ascii="Symbol" w:hAnsi="Symbol" w:hint="default"/>
      </w:rPr>
    </w:lvl>
    <w:lvl w:ilvl="1" w:tplc="DB2E0786" w:tentative="1">
      <w:start w:val="1"/>
      <w:numFmt w:val="bullet"/>
      <w:lvlText w:val="o"/>
      <w:lvlJc w:val="left"/>
      <w:pPr>
        <w:ind w:left="1440" w:hanging="360"/>
      </w:pPr>
      <w:rPr>
        <w:rFonts w:ascii="Courier New" w:hAnsi="Courier New" w:cs="Courier New" w:hint="default"/>
      </w:rPr>
    </w:lvl>
    <w:lvl w:ilvl="2" w:tplc="09320438" w:tentative="1">
      <w:start w:val="1"/>
      <w:numFmt w:val="bullet"/>
      <w:lvlText w:val=""/>
      <w:lvlJc w:val="left"/>
      <w:pPr>
        <w:ind w:left="2160" w:hanging="360"/>
      </w:pPr>
      <w:rPr>
        <w:rFonts w:ascii="Wingdings" w:hAnsi="Wingdings" w:hint="default"/>
      </w:rPr>
    </w:lvl>
    <w:lvl w:ilvl="3" w:tplc="157224E4" w:tentative="1">
      <w:start w:val="1"/>
      <w:numFmt w:val="bullet"/>
      <w:lvlText w:val=""/>
      <w:lvlJc w:val="left"/>
      <w:pPr>
        <w:ind w:left="2880" w:hanging="360"/>
      </w:pPr>
      <w:rPr>
        <w:rFonts w:ascii="Symbol" w:hAnsi="Symbol" w:hint="default"/>
      </w:rPr>
    </w:lvl>
    <w:lvl w:ilvl="4" w:tplc="C988E0F4" w:tentative="1">
      <w:start w:val="1"/>
      <w:numFmt w:val="bullet"/>
      <w:lvlText w:val="o"/>
      <w:lvlJc w:val="left"/>
      <w:pPr>
        <w:ind w:left="3600" w:hanging="360"/>
      </w:pPr>
      <w:rPr>
        <w:rFonts w:ascii="Courier New" w:hAnsi="Courier New" w:cs="Courier New" w:hint="default"/>
      </w:rPr>
    </w:lvl>
    <w:lvl w:ilvl="5" w:tplc="9C889FFC" w:tentative="1">
      <w:start w:val="1"/>
      <w:numFmt w:val="bullet"/>
      <w:lvlText w:val=""/>
      <w:lvlJc w:val="left"/>
      <w:pPr>
        <w:ind w:left="4320" w:hanging="360"/>
      </w:pPr>
      <w:rPr>
        <w:rFonts w:ascii="Wingdings" w:hAnsi="Wingdings" w:hint="default"/>
      </w:rPr>
    </w:lvl>
    <w:lvl w:ilvl="6" w:tplc="FC10A118" w:tentative="1">
      <w:start w:val="1"/>
      <w:numFmt w:val="bullet"/>
      <w:lvlText w:val=""/>
      <w:lvlJc w:val="left"/>
      <w:pPr>
        <w:ind w:left="5040" w:hanging="360"/>
      </w:pPr>
      <w:rPr>
        <w:rFonts w:ascii="Symbol" w:hAnsi="Symbol" w:hint="default"/>
      </w:rPr>
    </w:lvl>
    <w:lvl w:ilvl="7" w:tplc="C7280026" w:tentative="1">
      <w:start w:val="1"/>
      <w:numFmt w:val="bullet"/>
      <w:lvlText w:val="o"/>
      <w:lvlJc w:val="left"/>
      <w:pPr>
        <w:ind w:left="5760" w:hanging="360"/>
      </w:pPr>
      <w:rPr>
        <w:rFonts w:ascii="Courier New" w:hAnsi="Courier New" w:cs="Courier New" w:hint="default"/>
      </w:rPr>
    </w:lvl>
    <w:lvl w:ilvl="8" w:tplc="1C5C6010"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A8"/>
    <w:rsid w:val="00000F1B"/>
    <w:rsid w:val="00001298"/>
    <w:rsid w:val="00001BFA"/>
    <w:rsid w:val="00006328"/>
    <w:rsid w:val="00006F44"/>
    <w:rsid w:val="00007F41"/>
    <w:rsid w:val="000108CD"/>
    <w:rsid w:val="00011FFB"/>
    <w:rsid w:val="00013F1B"/>
    <w:rsid w:val="0001512C"/>
    <w:rsid w:val="00025FA5"/>
    <w:rsid w:val="00026398"/>
    <w:rsid w:val="00030776"/>
    <w:rsid w:val="00030A6B"/>
    <w:rsid w:val="00030BA1"/>
    <w:rsid w:val="00032397"/>
    <w:rsid w:val="00033CBC"/>
    <w:rsid w:val="00037E19"/>
    <w:rsid w:val="00043EEC"/>
    <w:rsid w:val="000452E1"/>
    <w:rsid w:val="00047C1F"/>
    <w:rsid w:val="000509AD"/>
    <w:rsid w:val="00050E10"/>
    <w:rsid w:val="00051333"/>
    <w:rsid w:val="00051F1E"/>
    <w:rsid w:val="00053768"/>
    <w:rsid w:val="00054998"/>
    <w:rsid w:val="00056287"/>
    <w:rsid w:val="00056F93"/>
    <w:rsid w:val="00057534"/>
    <w:rsid w:val="00057BB9"/>
    <w:rsid w:val="00061B34"/>
    <w:rsid w:val="00063579"/>
    <w:rsid w:val="00065AB1"/>
    <w:rsid w:val="00072AF8"/>
    <w:rsid w:val="00073192"/>
    <w:rsid w:val="00073498"/>
    <w:rsid w:val="000766BF"/>
    <w:rsid w:val="0007713C"/>
    <w:rsid w:val="0008086E"/>
    <w:rsid w:val="000817AB"/>
    <w:rsid w:val="00082FA2"/>
    <w:rsid w:val="00084C8F"/>
    <w:rsid w:val="00086D25"/>
    <w:rsid w:val="00087538"/>
    <w:rsid w:val="000915D6"/>
    <w:rsid w:val="00092EF6"/>
    <w:rsid w:val="00094077"/>
    <w:rsid w:val="00096339"/>
    <w:rsid w:val="0009784C"/>
    <w:rsid w:val="000A1C52"/>
    <w:rsid w:val="000A5098"/>
    <w:rsid w:val="000A687A"/>
    <w:rsid w:val="000B19F1"/>
    <w:rsid w:val="000B277F"/>
    <w:rsid w:val="000B296B"/>
    <w:rsid w:val="000B490A"/>
    <w:rsid w:val="000B5ACB"/>
    <w:rsid w:val="000B63F8"/>
    <w:rsid w:val="000B6EBE"/>
    <w:rsid w:val="000C4AEE"/>
    <w:rsid w:val="000C5A5B"/>
    <w:rsid w:val="000C5D18"/>
    <w:rsid w:val="000C72CE"/>
    <w:rsid w:val="000D018A"/>
    <w:rsid w:val="000D1B82"/>
    <w:rsid w:val="000D2696"/>
    <w:rsid w:val="000D3786"/>
    <w:rsid w:val="000D4BA1"/>
    <w:rsid w:val="000D64F1"/>
    <w:rsid w:val="000D7778"/>
    <w:rsid w:val="000E02EA"/>
    <w:rsid w:val="000E189E"/>
    <w:rsid w:val="000E27B2"/>
    <w:rsid w:val="000E2FD8"/>
    <w:rsid w:val="000E374C"/>
    <w:rsid w:val="000E4303"/>
    <w:rsid w:val="000E4A3D"/>
    <w:rsid w:val="000F423C"/>
    <w:rsid w:val="000F629B"/>
    <w:rsid w:val="000F6A12"/>
    <w:rsid w:val="00101908"/>
    <w:rsid w:val="00101A06"/>
    <w:rsid w:val="00102795"/>
    <w:rsid w:val="00103C7A"/>
    <w:rsid w:val="00103FC3"/>
    <w:rsid w:val="00105475"/>
    <w:rsid w:val="0011192D"/>
    <w:rsid w:val="00113740"/>
    <w:rsid w:val="00114B88"/>
    <w:rsid w:val="00114CB8"/>
    <w:rsid w:val="001162CC"/>
    <w:rsid w:val="001173D3"/>
    <w:rsid w:val="0011775F"/>
    <w:rsid w:val="001233F8"/>
    <w:rsid w:val="00123A05"/>
    <w:rsid w:val="00123FB6"/>
    <w:rsid w:val="00126370"/>
    <w:rsid w:val="00126412"/>
    <w:rsid w:val="0013366A"/>
    <w:rsid w:val="001373A8"/>
    <w:rsid w:val="0013789F"/>
    <w:rsid w:val="00141089"/>
    <w:rsid w:val="001415DC"/>
    <w:rsid w:val="00141E0A"/>
    <w:rsid w:val="001454E3"/>
    <w:rsid w:val="0014552F"/>
    <w:rsid w:val="00146364"/>
    <w:rsid w:val="00152E02"/>
    <w:rsid w:val="00153085"/>
    <w:rsid w:val="0015368B"/>
    <w:rsid w:val="001553C5"/>
    <w:rsid w:val="001566FB"/>
    <w:rsid w:val="0015677D"/>
    <w:rsid w:val="00157D6B"/>
    <w:rsid w:val="00161D62"/>
    <w:rsid w:val="00162F09"/>
    <w:rsid w:val="00164CB0"/>
    <w:rsid w:val="00165477"/>
    <w:rsid w:val="00165B20"/>
    <w:rsid w:val="00165EF4"/>
    <w:rsid w:val="0017108F"/>
    <w:rsid w:val="00172595"/>
    <w:rsid w:val="0017333D"/>
    <w:rsid w:val="0017338D"/>
    <w:rsid w:val="00173BE8"/>
    <w:rsid w:val="00174B11"/>
    <w:rsid w:val="001755E0"/>
    <w:rsid w:val="00176AE0"/>
    <w:rsid w:val="00177B99"/>
    <w:rsid w:val="001803BF"/>
    <w:rsid w:val="00180A84"/>
    <w:rsid w:val="00181299"/>
    <w:rsid w:val="00181801"/>
    <w:rsid w:val="00183E00"/>
    <w:rsid w:val="00185015"/>
    <w:rsid w:val="0018624F"/>
    <w:rsid w:val="00187741"/>
    <w:rsid w:val="001902E6"/>
    <w:rsid w:val="00191FDC"/>
    <w:rsid w:val="001948C0"/>
    <w:rsid w:val="00196899"/>
    <w:rsid w:val="00197DEC"/>
    <w:rsid w:val="001A0D4D"/>
    <w:rsid w:val="001A2E00"/>
    <w:rsid w:val="001A4C5E"/>
    <w:rsid w:val="001A620D"/>
    <w:rsid w:val="001A6257"/>
    <w:rsid w:val="001B0193"/>
    <w:rsid w:val="001B02CD"/>
    <w:rsid w:val="001B161C"/>
    <w:rsid w:val="001B18CC"/>
    <w:rsid w:val="001B2569"/>
    <w:rsid w:val="001B263E"/>
    <w:rsid w:val="001B275B"/>
    <w:rsid w:val="001B4AA9"/>
    <w:rsid w:val="001B7B21"/>
    <w:rsid w:val="001C139B"/>
    <w:rsid w:val="001C2594"/>
    <w:rsid w:val="001C3608"/>
    <w:rsid w:val="001C36BB"/>
    <w:rsid w:val="001C46ED"/>
    <w:rsid w:val="001C6252"/>
    <w:rsid w:val="001C62B3"/>
    <w:rsid w:val="001C63A2"/>
    <w:rsid w:val="001C6A62"/>
    <w:rsid w:val="001C6A9E"/>
    <w:rsid w:val="001D0308"/>
    <w:rsid w:val="001D2644"/>
    <w:rsid w:val="001D3648"/>
    <w:rsid w:val="001D4100"/>
    <w:rsid w:val="001D6B7D"/>
    <w:rsid w:val="001E1C7B"/>
    <w:rsid w:val="001E2369"/>
    <w:rsid w:val="001E2FE6"/>
    <w:rsid w:val="001E4796"/>
    <w:rsid w:val="001E776F"/>
    <w:rsid w:val="001F08D0"/>
    <w:rsid w:val="001F21CD"/>
    <w:rsid w:val="001F34C1"/>
    <w:rsid w:val="001F5B24"/>
    <w:rsid w:val="001F61C5"/>
    <w:rsid w:val="001F63FC"/>
    <w:rsid w:val="001F7749"/>
    <w:rsid w:val="00201DC3"/>
    <w:rsid w:val="00204743"/>
    <w:rsid w:val="00205676"/>
    <w:rsid w:val="002069C1"/>
    <w:rsid w:val="002100ED"/>
    <w:rsid w:val="00210E14"/>
    <w:rsid w:val="002156EF"/>
    <w:rsid w:val="00215E4F"/>
    <w:rsid w:val="00216014"/>
    <w:rsid w:val="00216029"/>
    <w:rsid w:val="002210EE"/>
    <w:rsid w:val="00224BB0"/>
    <w:rsid w:val="002252B9"/>
    <w:rsid w:val="00225367"/>
    <w:rsid w:val="00225BE6"/>
    <w:rsid w:val="002267FF"/>
    <w:rsid w:val="00230669"/>
    <w:rsid w:val="002308AC"/>
    <w:rsid w:val="002320EB"/>
    <w:rsid w:val="00233E47"/>
    <w:rsid w:val="002372C5"/>
    <w:rsid w:val="00237F8A"/>
    <w:rsid w:val="002400AD"/>
    <w:rsid w:val="00245DCC"/>
    <w:rsid w:val="00250BC4"/>
    <w:rsid w:val="00250BFA"/>
    <w:rsid w:val="00252397"/>
    <w:rsid w:val="00252F9E"/>
    <w:rsid w:val="002534CF"/>
    <w:rsid w:val="00254E90"/>
    <w:rsid w:val="00255EE3"/>
    <w:rsid w:val="002562BF"/>
    <w:rsid w:val="00257414"/>
    <w:rsid w:val="00257A9A"/>
    <w:rsid w:val="00260189"/>
    <w:rsid w:val="00260934"/>
    <w:rsid w:val="002626FE"/>
    <w:rsid w:val="002630CB"/>
    <w:rsid w:val="00264BB1"/>
    <w:rsid w:val="0026513C"/>
    <w:rsid w:val="002657B3"/>
    <w:rsid w:val="00266624"/>
    <w:rsid w:val="00266FD2"/>
    <w:rsid w:val="00267991"/>
    <w:rsid w:val="002679EE"/>
    <w:rsid w:val="00272AE6"/>
    <w:rsid w:val="00272F7C"/>
    <w:rsid w:val="0027335E"/>
    <w:rsid w:val="002801F6"/>
    <w:rsid w:val="00283489"/>
    <w:rsid w:val="00283E26"/>
    <w:rsid w:val="00287B84"/>
    <w:rsid w:val="002933C2"/>
    <w:rsid w:val="002937F8"/>
    <w:rsid w:val="002939A9"/>
    <w:rsid w:val="00295737"/>
    <w:rsid w:val="00295E8A"/>
    <w:rsid w:val="00296050"/>
    <w:rsid w:val="002966D8"/>
    <w:rsid w:val="00297693"/>
    <w:rsid w:val="002A1337"/>
    <w:rsid w:val="002A1B78"/>
    <w:rsid w:val="002A1FFE"/>
    <w:rsid w:val="002A2704"/>
    <w:rsid w:val="002A5223"/>
    <w:rsid w:val="002A60B9"/>
    <w:rsid w:val="002B4CE7"/>
    <w:rsid w:val="002B53AC"/>
    <w:rsid w:val="002B5466"/>
    <w:rsid w:val="002B5627"/>
    <w:rsid w:val="002B72D1"/>
    <w:rsid w:val="002B7FC4"/>
    <w:rsid w:val="002C0DD0"/>
    <w:rsid w:val="002C21F0"/>
    <w:rsid w:val="002C2BBB"/>
    <w:rsid w:val="002C2C3F"/>
    <w:rsid w:val="002C5960"/>
    <w:rsid w:val="002C5DF3"/>
    <w:rsid w:val="002C6B19"/>
    <w:rsid w:val="002C6D2F"/>
    <w:rsid w:val="002C7B3B"/>
    <w:rsid w:val="002D10F9"/>
    <w:rsid w:val="002D119C"/>
    <w:rsid w:val="002D1574"/>
    <w:rsid w:val="002D42F8"/>
    <w:rsid w:val="002D5DB9"/>
    <w:rsid w:val="002D6ABF"/>
    <w:rsid w:val="002E0938"/>
    <w:rsid w:val="002E0BC9"/>
    <w:rsid w:val="002E191D"/>
    <w:rsid w:val="002E5F7C"/>
    <w:rsid w:val="002E614A"/>
    <w:rsid w:val="002E65C1"/>
    <w:rsid w:val="002E7819"/>
    <w:rsid w:val="002E789B"/>
    <w:rsid w:val="002F0168"/>
    <w:rsid w:val="002F12DA"/>
    <w:rsid w:val="002F299C"/>
    <w:rsid w:val="002F33D2"/>
    <w:rsid w:val="002F446B"/>
    <w:rsid w:val="002F4F46"/>
    <w:rsid w:val="002F5727"/>
    <w:rsid w:val="002F5C19"/>
    <w:rsid w:val="003023F5"/>
    <w:rsid w:val="00302790"/>
    <w:rsid w:val="00302B36"/>
    <w:rsid w:val="0030549A"/>
    <w:rsid w:val="0030633A"/>
    <w:rsid w:val="00306877"/>
    <w:rsid w:val="00306E7F"/>
    <w:rsid w:val="0030728B"/>
    <w:rsid w:val="003111EB"/>
    <w:rsid w:val="0031401C"/>
    <w:rsid w:val="0032038A"/>
    <w:rsid w:val="003229F6"/>
    <w:rsid w:val="00322A23"/>
    <w:rsid w:val="00325450"/>
    <w:rsid w:val="003261D7"/>
    <w:rsid w:val="003312AC"/>
    <w:rsid w:val="00332234"/>
    <w:rsid w:val="00332C7B"/>
    <w:rsid w:val="0033330F"/>
    <w:rsid w:val="0033337C"/>
    <w:rsid w:val="0033358C"/>
    <w:rsid w:val="0033466B"/>
    <w:rsid w:val="003402D5"/>
    <w:rsid w:val="003431E3"/>
    <w:rsid w:val="003444B0"/>
    <w:rsid w:val="00347A5B"/>
    <w:rsid w:val="00350E13"/>
    <w:rsid w:val="003530C7"/>
    <w:rsid w:val="00357E9F"/>
    <w:rsid w:val="00360AAF"/>
    <w:rsid w:val="00360D16"/>
    <w:rsid w:val="00361181"/>
    <w:rsid w:val="00362F0B"/>
    <w:rsid w:val="0036394B"/>
    <w:rsid w:val="003659C0"/>
    <w:rsid w:val="003661C8"/>
    <w:rsid w:val="00367ADC"/>
    <w:rsid w:val="00370138"/>
    <w:rsid w:val="00370707"/>
    <w:rsid w:val="00370A81"/>
    <w:rsid w:val="00371EAF"/>
    <w:rsid w:val="0037474F"/>
    <w:rsid w:val="003766FF"/>
    <w:rsid w:val="00376FB3"/>
    <w:rsid w:val="0037764F"/>
    <w:rsid w:val="0038201D"/>
    <w:rsid w:val="00382914"/>
    <w:rsid w:val="0038352E"/>
    <w:rsid w:val="00385388"/>
    <w:rsid w:val="0038732B"/>
    <w:rsid w:val="00387ADE"/>
    <w:rsid w:val="003915DE"/>
    <w:rsid w:val="00391DC4"/>
    <w:rsid w:val="0039676A"/>
    <w:rsid w:val="00397046"/>
    <w:rsid w:val="003A2FD3"/>
    <w:rsid w:val="003A3403"/>
    <w:rsid w:val="003A34AE"/>
    <w:rsid w:val="003A4795"/>
    <w:rsid w:val="003A578F"/>
    <w:rsid w:val="003A600F"/>
    <w:rsid w:val="003A7959"/>
    <w:rsid w:val="003A7E99"/>
    <w:rsid w:val="003B16D2"/>
    <w:rsid w:val="003B1966"/>
    <w:rsid w:val="003B41DE"/>
    <w:rsid w:val="003B4A95"/>
    <w:rsid w:val="003B4C28"/>
    <w:rsid w:val="003B638C"/>
    <w:rsid w:val="003B6781"/>
    <w:rsid w:val="003C0BE3"/>
    <w:rsid w:val="003C2728"/>
    <w:rsid w:val="003C29AF"/>
    <w:rsid w:val="003C42F5"/>
    <w:rsid w:val="003C6715"/>
    <w:rsid w:val="003C6ECF"/>
    <w:rsid w:val="003C70C1"/>
    <w:rsid w:val="003D3225"/>
    <w:rsid w:val="003D49C1"/>
    <w:rsid w:val="003D5706"/>
    <w:rsid w:val="003D5CD7"/>
    <w:rsid w:val="003D5CE8"/>
    <w:rsid w:val="003E0043"/>
    <w:rsid w:val="003E0722"/>
    <w:rsid w:val="003E0DFB"/>
    <w:rsid w:val="003E1237"/>
    <w:rsid w:val="003E279B"/>
    <w:rsid w:val="003E3949"/>
    <w:rsid w:val="003E4AC7"/>
    <w:rsid w:val="003E511A"/>
    <w:rsid w:val="003E5602"/>
    <w:rsid w:val="003E62B3"/>
    <w:rsid w:val="003E79D9"/>
    <w:rsid w:val="003F0AFC"/>
    <w:rsid w:val="003F0B50"/>
    <w:rsid w:val="003F13F1"/>
    <w:rsid w:val="003F6982"/>
    <w:rsid w:val="003F7C99"/>
    <w:rsid w:val="00400D93"/>
    <w:rsid w:val="00400EF4"/>
    <w:rsid w:val="00402BDB"/>
    <w:rsid w:val="00403AA2"/>
    <w:rsid w:val="00406962"/>
    <w:rsid w:val="00407BAB"/>
    <w:rsid w:val="00411C2A"/>
    <w:rsid w:val="0041270C"/>
    <w:rsid w:val="00414FD2"/>
    <w:rsid w:val="00415567"/>
    <w:rsid w:val="004177D9"/>
    <w:rsid w:val="004232D3"/>
    <w:rsid w:val="004242B1"/>
    <w:rsid w:val="00426C41"/>
    <w:rsid w:val="00427E43"/>
    <w:rsid w:val="00432386"/>
    <w:rsid w:val="00437989"/>
    <w:rsid w:val="00437C8E"/>
    <w:rsid w:val="004413AD"/>
    <w:rsid w:val="00443662"/>
    <w:rsid w:val="004455A2"/>
    <w:rsid w:val="004522B2"/>
    <w:rsid w:val="0045348C"/>
    <w:rsid w:val="00453BE8"/>
    <w:rsid w:val="00454F30"/>
    <w:rsid w:val="004565BB"/>
    <w:rsid w:val="00457B40"/>
    <w:rsid w:val="00457E47"/>
    <w:rsid w:val="004620F1"/>
    <w:rsid w:val="004649A0"/>
    <w:rsid w:val="004653CF"/>
    <w:rsid w:val="00466E8D"/>
    <w:rsid w:val="00467B69"/>
    <w:rsid w:val="004702D2"/>
    <w:rsid w:val="00470870"/>
    <w:rsid w:val="0047165E"/>
    <w:rsid w:val="00472635"/>
    <w:rsid w:val="00475398"/>
    <w:rsid w:val="00475D85"/>
    <w:rsid w:val="0047669D"/>
    <w:rsid w:val="004805C1"/>
    <w:rsid w:val="004808DF"/>
    <w:rsid w:val="0048429F"/>
    <w:rsid w:val="00484B7E"/>
    <w:rsid w:val="0048587E"/>
    <w:rsid w:val="00485DEA"/>
    <w:rsid w:val="00486708"/>
    <w:rsid w:val="00491103"/>
    <w:rsid w:val="00491791"/>
    <w:rsid w:val="004949F0"/>
    <w:rsid w:val="00494E1F"/>
    <w:rsid w:val="004979B5"/>
    <w:rsid w:val="004A087E"/>
    <w:rsid w:val="004A0E43"/>
    <w:rsid w:val="004A1466"/>
    <w:rsid w:val="004A41FC"/>
    <w:rsid w:val="004A521F"/>
    <w:rsid w:val="004A6EF3"/>
    <w:rsid w:val="004B009D"/>
    <w:rsid w:val="004B0F96"/>
    <w:rsid w:val="004B1508"/>
    <w:rsid w:val="004B2EA4"/>
    <w:rsid w:val="004B5CC9"/>
    <w:rsid w:val="004B6531"/>
    <w:rsid w:val="004C017D"/>
    <w:rsid w:val="004C05AA"/>
    <w:rsid w:val="004C2B19"/>
    <w:rsid w:val="004C2E54"/>
    <w:rsid w:val="004C5E5B"/>
    <w:rsid w:val="004C7101"/>
    <w:rsid w:val="004C724A"/>
    <w:rsid w:val="004D1725"/>
    <w:rsid w:val="004D20D2"/>
    <w:rsid w:val="004D44CD"/>
    <w:rsid w:val="004D5A1C"/>
    <w:rsid w:val="004D60D3"/>
    <w:rsid w:val="004D745B"/>
    <w:rsid w:val="004D7495"/>
    <w:rsid w:val="004E1947"/>
    <w:rsid w:val="004E4BE2"/>
    <w:rsid w:val="004E564C"/>
    <w:rsid w:val="004E5827"/>
    <w:rsid w:val="004E6CBC"/>
    <w:rsid w:val="004F04EC"/>
    <w:rsid w:val="004F0B06"/>
    <w:rsid w:val="004F1058"/>
    <w:rsid w:val="004F250F"/>
    <w:rsid w:val="004F593E"/>
    <w:rsid w:val="004F5B66"/>
    <w:rsid w:val="004F5C8D"/>
    <w:rsid w:val="004F74FE"/>
    <w:rsid w:val="004F7E85"/>
    <w:rsid w:val="00500F2E"/>
    <w:rsid w:val="005011FD"/>
    <w:rsid w:val="00502238"/>
    <w:rsid w:val="005033FF"/>
    <w:rsid w:val="00503602"/>
    <w:rsid w:val="005036FF"/>
    <w:rsid w:val="00507664"/>
    <w:rsid w:val="00511C2A"/>
    <w:rsid w:val="0051229F"/>
    <w:rsid w:val="00512315"/>
    <w:rsid w:val="00513266"/>
    <w:rsid w:val="00513755"/>
    <w:rsid w:val="00513D6A"/>
    <w:rsid w:val="00521896"/>
    <w:rsid w:val="00523450"/>
    <w:rsid w:val="00524B6C"/>
    <w:rsid w:val="0052544A"/>
    <w:rsid w:val="005325FA"/>
    <w:rsid w:val="00532CDE"/>
    <w:rsid w:val="0053311B"/>
    <w:rsid w:val="00533564"/>
    <w:rsid w:val="00535289"/>
    <w:rsid w:val="005379B9"/>
    <w:rsid w:val="00541505"/>
    <w:rsid w:val="00542377"/>
    <w:rsid w:val="00543515"/>
    <w:rsid w:val="00544D99"/>
    <w:rsid w:val="005528BF"/>
    <w:rsid w:val="00553F90"/>
    <w:rsid w:val="00554AEB"/>
    <w:rsid w:val="00556219"/>
    <w:rsid w:val="005567AF"/>
    <w:rsid w:val="00557065"/>
    <w:rsid w:val="005573C2"/>
    <w:rsid w:val="00557411"/>
    <w:rsid w:val="005603DA"/>
    <w:rsid w:val="0056220F"/>
    <w:rsid w:val="0056531C"/>
    <w:rsid w:val="00567568"/>
    <w:rsid w:val="00570CA0"/>
    <w:rsid w:val="005710C3"/>
    <w:rsid w:val="005723A4"/>
    <w:rsid w:val="00573CDA"/>
    <w:rsid w:val="00576CA6"/>
    <w:rsid w:val="0057713F"/>
    <w:rsid w:val="005772D4"/>
    <w:rsid w:val="00582211"/>
    <w:rsid w:val="00584012"/>
    <w:rsid w:val="0058427F"/>
    <w:rsid w:val="0058433C"/>
    <w:rsid w:val="00584712"/>
    <w:rsid w:val="00585D4C"/>
    <w:rsid w:val="00590022"/>
    <w:rsid w:val="005904DC"/>
    <w:rsid w:val="00590734"/>
    <w:rsid w:val="00596F9A"/>
    <w:rsid w:val="005A0DCF"/>
    <w:rsid w:val="005A28C9"/>
    <w:rsid w:val="005A2DC3"/>
    <w:rsid w:val="005A5F4C"/>
    <w:rsid w:val="005A78DA"/>
    <w:rsid w:val="005B009D"/>
    <w:rsid w:val="005B014C"/>
    <w:rsid w:val="005B1246"/>
    <w:rsid w:val="005B23C2"/>
    <w:rsid w:val="005B27EC"/>
    <w:rsid w:val="005C1057"/>
    <w:rsid w:val="005C19D8"/>
    <w:rsid w:val="005C2E61"/>
    <w:rsid w:val="005C3839"/>
    <w:rsid w:val="005C4851"/>
    <w:rsid w:val="005C56DB"/>
    <w:rsid w:val="005C6088"/>
    <w:rsid w:val="005C7FF1"/>
    <w:rsid w:val="005D37B6"/>
    <w:rsid w:val="005D3B77"/>
    <w:rsid w:val="005D561F"/>
    <w:rsid w:val="005D5634"/>
    <w:rsid w:val="005D7DA5"/>
    <w:rsid w:val="005E0FCE"/>
    <w:rsid w:val="005E338B"/>
    <w:rsid w:val="005E343A"/>
    <w:rsid w:val="005E3B73"/>
    <w:rsid w:val="005E6100"/>
    <w:rsid w:val="005E6F30"/>
    <w:rsid w:val="005E7511"/>
    <w:rsid w:val="005E7573"/>
    <w:rsid w:val="005F03AE"/>
    <w:rsid w:val="005F269F"/>
    <w:rsid w:val="005F2960"/>
    <w:rsid w:val="005F4BE7"/>
    <w:rsid w:val="005F50E0"/>
    <w:rsid w:val="005F7CC6"/>
    <w:rsid w:val="006020A8"/>
    <w:rsid w:val="00602A50"/>
    <w:rsid w:val="006044E9"/>
    <w:rsid w:val="00607D1E"/>
    <w:rsid w:val="00611286"/>
    <w:rsid w:val="0061246B"/>
    <w:rsid w:val="006125DA"/>
    <w:rsid w:val="00613B10"/>
    <w:rsid w:val="00614283"/>
    <w:rsid w:val="00615069"/>
    <w:rsid w:val="00615492"/>
    <w:rsid w:val="00617027"/>
    <w:rsid w:val="0061782F"/>
    <w:rsid w:val="00617A1F"/>
    <w:rsid w:val="0062062B"/>
    <w:rsid w:val="00620694"/>
    <w:rsid w:val="006229BA"/>
    <w:rsid w:val="00623CD4"/>
    <w:rsid w:val="00624F28"/>
    <w:rsid w:val="00626FD3"/>
    <w:rsid w:val="006310A9"/>
    <w:rsid w:val="00635561"/>
    <w:rsid w:val="00636D3D"/>
    <w:rsid w:val="00642182"/>
    <w:rsid w:val="00643450"/>
    <w:rsid w:val="00644641"/>
    <w:rsid w:val="006448FF"/>
    <w:rsid w:val="00645D18"/>
    <w:rsid w:val="00647948"/>
    <w:rsid w:val="00651686"/>
    <w:rsid w:val="0065240E"/>
    <w:rsid w:val="006528F8"/>
    <w:rsid w:val="00655A63"/>
    <w:rsid w:val="00656DA8"/>
    <w:rsid w:val="00662076"/>
    <w:rsid w:val="006640D0"/>
    <w:rsid w:val="00667141"/>
    <w:rsid w:val="00670F72"/>
    <w:rsid w:val="006712E2"/>
    <w:rsid w:val="006719F9"/>
    <w:rsid w:val="00673809"/>
    <w:rsid w:val="00673AC1"/>
    <w:rsid w:val="00675755"/>
    <w:rsid w:val="006773FD"/>
    <w:rsid w:val="006800BC"/>
    <w:rsid w:val="00682DF9"/>
    <w:rsid w:val="006852E5"/>
    <w:rsid w:val="00685BB7"/>
    <w:rsid w:val="006870F8"/>
    <w:rsid w:val="00691F87"/>
    <w:rsid w:val="00692BFD"/>
    <w:rsid w:val="006938B1"/>
    <w:rsid w:val="00695A05"/>
    <w:rsid w:val="00696316"/>
    <w:rsid w:val="00697B1A"/>
    <w:rsid w:val="006A1DDE"/>
    <w:rsid w:val="006A2197"/>
    <w:rsid w:val="006A2C2F"/>
    <w:rsid w:val="006A3021"/>
    <w:rsid w:val="006A3A02"/>
    <w:rsid w:val="006A40A5"/>
    <w:rsid w:val="006A6B8D"/>
    <w:rsid w:val="006A6EB3"/>
    <w:rsid w:val="006B0CC4"/>
    <w:rsid w:val="006B4A59"/>
    <w:rsid w:val="006B714C"/>
    <w:rsid w:val="006B72A5"/>
    <w:rsid w:val="006C04C6"/>
    <w:rsid w:val="006C08A0"/>
    <w:rsid w:val="006C1358"/>
    <w:rsid w:val="006C1DF2"/>
    <w:rsid w:val="006C1FE4"/>
    <w:rsid w:val="006C5907"/>
    <w:rsid w:val="006C69BD"/>
    <w:rsid w:val="006C6A2A"/>
    <w:rsid w:val="006D4E31"/>
    <w:rsid w:val="006D75BD"/>
    <w:rsid w:val="006E0613"/>
    <w:rsid w:val="006E3313"/>
    <w:rsid w:val="006F0CDA"/>
    <w:rsid w:val="006F2DD4"/>
    <w:rsid w:val="006F32CA"/>
    <w:rsid w:val="006F4A34"/>
    <w:rsid w:val="006F53AE"/>
    <w:rsid w:val="006F5843"/>
    <w:rsid w:val="006F59FA"/>
    <w:rsid w:val="006F69B7"/>
    <w:rsid w:val="00700AE3"/>
    <w:rsid w:val="00701D11"/>
    <w:rsid w:val="007025D8"/>
    <w:rsid w:val="00706EB6"/>
    <w:rsid w:val="007119F4"/>
    <w:rsid w:val="007129FF"/>
    <w:rsid w:val="00712AE3"/>
    <w:rsid w:val="007136C2"/>
    <w:rsid w:val="00717963"/>
    <w:rsid w:val="0072228D"/>
    <w:rsid w:val="00722671"/>
    <w:rsid w:val="00722889"/>
    <w:rsid w:val="00725CD5"/>
    <w:rsid w:val="00725D9B"/>
    <w:rsid w:val="00726DCA"/>
    <w:rsid w:val="007307E3"/>
    <w:rsid w:val="00731D2E"/>
    <w:rsid w:val="00732B2D"/>
    <w:rsid w:val="00735C33"/>
    <w:rsid w:val="00741DB3"/>
    <w:rsid w:val="00743635"/>
    <w:rsid w:val="00743AD5"/>
    <w:rsid w:val="00743E2E"/>
    <w:rsid w:val="00745889"/>
    <w:rsid w:val="00745FEA"/>
    <w:rsid w:val="00747A75"/>
    <w:rsid w:val="00752A70"/>
    <w:rsid w:val="00752DF6"/>
    <w:rsid w:val="007530A0"/>
    <w:rsid w:val="00754F47"/>
    <w:rsid w:val="00755B9A"/>
    <w:rsid w:val="007566FF"/>
    <w:rsid w:val="00760C5B"/>
    <w:rsid w:val="00761A6A"/>
    <w:rsid w:val="00762B6E"/>
    <w:rsid w:val="00772280"/>
    <w:rsid w:val="00775597"/>
    <w:rsid w:val="007835B9"/>
    <w:rsid w:val="007859B1"/>
    <w:rsid w:val="00786FCA"/>
    <w:rsid w:val="00787D08"/>
    <w:rsid w:val="00787F51"/>
    <w:rsid w:val="0079035B"/>
    <w:rsid w:val="00791206"/>
    <w:rsid w:val="00794852"/>
    <w:rsid w:val="0079494A"/>
    <w:rsid w:val="0079635E"/>
    <w:rsid w:val="00796A3D"/>
    <w:rsid w:val="00797229"/>
    <w:rsid w:val="007A095B"/>
    <w:rsid w:val="007A2224"/>
    <w:rsid w:val="007A27D2"/>
    <w:rsid w:val="007A4100"/>
    <w:rsid w:val="007A4BB6"/>
    <w:rsid w:val="007A51E6"/>
    <w:rsid w:val="007A6677"/>
    <w:rsid w:val="007A734C"/>
    <w:rsid w:val="007A7C78"/>
    <w:rsid w:val="007B0CB4"/>
    <w:rsid w:val="007B4527"/>
    <w:rsid w:val="007B531B"/>
    <w:rsid w:val="007B743C"/>
    <w:rsid w:val="007B79A1"/>
    <w:rsid w:val="007B7F73"/>
    <w:rsid w:val="007C0ABA"/>
    <w:rsid w:val="007C22B0"/>
    <w:rsid w:val="007C37FA"/>
    <w:rsid w:val="007C3E62"/>
    <w:rsid w:val="007C7C4C"/>
    <w:rsid w:val="007C7D1D"/>
    <w:rsid w:val="007D1711"/>
    <w:rsid w:val="007D1916"/>
    <w:rsid w:val="007D285B"/>
    <w:rsid w:val="007D37DC"/>
    <w:rsid w:val="007D4494"/>
    <w:rsid w:val="007D54AA"/>
    <w:rsid w:val="007D5F9D"/>
    <w:rsid w:val="007D7385"/>
    <w:rsid w:val="007E3C0A"/>
    <w:rsid w:val="007F3534"/>
    <w:rsid w:val="007F4A69"/>
    <w:rsid w:val="007F5A2C"/>
    <w:rsid w:val="007F5DB3"/>
    <w:rsid w:val="007F5FBF"/>
    <w:rsid w:val="007F6417"/>
    <w:rsid w:val="007F6D9C"/>
    <w:rsid w:val="00801F4C"/>
    <w:rsid w:val="0080482F"/>
    <w:rsid w:val="00804C25"/>
    <w:rsid w:val="00806670"/>
    <w:rsid w:val="00807D2D"/>
    <w:rsid w:val="00810D6C"/>
    <w:rsid w:val="0081106E"/>
    <w:rsid w:val="008121A5"/>
    <w:rsid w:val="00812A9B"/>
    <w:rsid w:val="00814BDE"/>
    <w:rsid w:val="00815DB0"/>
    <w:rsid w:val="00815EBA"/>
    <w:rsid w:val="00817DF7"/>
    <w:rsid w:val="008233F2"/>
    <w:rsid w:val="008240E1"/>
    <w:rsid w:val="00824465"/>
    <w:rsid w:val="00824F87"/>
    <w:rsid w:val="008324DB"/>
    <w:rsid w:val="0083299C"/>
    <w:rsid w:val="00832D4C"/>
    <w:rsid w:val="00833773"/>
    <w:rsid w:val="00834C3B"/>
    <w:rsid w:val="00836972"/>
    <w:rsid w:val="00841E81"/>
    <w:rsid w:val="00841FC3"/>
    <w:rsid w:val="00843B80"/>
    <w:rsid w:val="008443DD"/>
    <w:rsid w:val="008467C9"/>
    <w:rsid w:val="00846A3C"/>
    <w:rsid w:val="0084750A"/>
    <w:rsid w:val="0084785F"/>
    <w:rsid w:val="00847BF3"/>
    <w:rsid w:val="00850E0D"/>
    <w:rsid w:val="00853DB8"/>
    <w:rsid w:val="00855006"/>
    <w:rsid w:val="008561E0"/>
    <w:rsid w:val="008567D3"/>
    <w:rsid w:val="008574ED"/>
    <w:rsid w:val="00860E6F"/>
    <w:rsid w:val="0086286C"/>
    <w:rsid w:val="00863187"/>
    <w:rsid w:val="00866031"/>
    <w:rsid w:val="00866264"/>
    <w:rsid w:val="00871171"/>
    <w:rsid w:val="008718FF"/>
    <w:rsid w:val="00871D79"/>
    <w:rsid w:val="00872DA2"/>
    <w:rsid w:val="00873F7B"/>
    <w:rsid w:val="0087608B"/>
    <w:rsid w:val="008769D1"/>
    <w:rsid w:val="00876FE2"/>
    <w:rsid w:val="008813B9"/>
    <w:rsid w:val="008816E0"/>
    <w:rsid w:val="008820B8"/>
    <w:rsid w:val="00883683"/>
    <w:rsid w:val="008851A0"/>
    <w:rsid w:val="008854AC"/>
    <w:rsid w:val="0089177E"/>
    <w:rsid w:val="00894229"/>
    <w:rsid w:val="00895850"/>
    <w:rsid w:val="00896F68"/>
    <w:rsid w:val="00897577"/>
    <w:rsid w:val="008A214C"/>
    <w:rsid w:val="008A3766"/>
    <w:rsid w:val="008A4FC4"/>
    <w:rsid w:val="008A5928"/>
    <w:rsid w:val="008B0CB5"/>
    <w:rsid w:val="008B1907"/>
    <w:rsid w:val="008B2226"/>
    <w:rsid w:val="008B6AA9"/>
    <w:rsid w:val="008B6F24"/>
    <w:rsid w:val="008C0D09"/>
    <w:rsid w:val="008C2707"/>
    <w:rsid w:val="008C4105"/>
    <w:rsid w:val="008C60BC"/>
    <w:rsid w:val="008C795A"/>
    <w:rsid w:val="008D0C7F"/>
    <w:rsid w:val="008D1502"/>
    <w:rsid w:val="008D2448"/>
    <w:rsid w:val="008D25DF"/>
    <w:rsid w:val="008D3980"/>
    <w:rsid w:val="008D3DE4"/>
    <w:rsid w:val="008D41FF"/>
    <w:rsid w:val="008D568B"/>
    <w:rsid w:val="008E31B1"/>
    <w:rsid w:val="008E75A6"/>
    <w:rsid w:val="008E7E12"/>
    <w:rsid w:val="008F070F"/>
    <w:rsid w:val="008F2497"/>
    <w:rsid w:val="008F2533"/>
    <w:rsid w:val="008F3D26"/>
    <w:rsid w:val="008F5DC3"/>
    <w:rsid w:val="00901D97"/>
    <w:rsid w:val="009024A8"/>
    <w:rsid w:val="009034E2"/>
    <w:rsid w:val="0090484D"/>
    <w:rsid w:val="00905763"/>
    <w:rsid w:val="00905E84"/>
    <w:rsid w:val="009067B2"/>
    <w:rsid w:val="00910AE7"/>
    <w:rsid w:val="00911DEC"/>
    <w:rsid w:val="00911E85"/>
    <w:rsid w:val="00917ED2"/>
    <w:rsid w:val="00921138"/>
    <w:rsid w:val="00922232"/>
    <w:rsid w:val="009234AA"/>
    <w:rsid w:val="00930A86"/>
    <w:rsid w:val="0093118D"/>
    <w:rsid w:val="00931765"/>
    <w:rsid w:val="00931D7C"/>
    <w:rsid w:val="00933C71"/>
    <w:rsid w:val="00941CDC"/>
    <w:rsid w:val="0094258A"/>
    <w:rsid w:val="00942A2E"/>
    <w:rsid w:val="00945C2C"/>
    <w:rsid w:val="0094750E"/>
    <w:rsid w:val="00950C23"/>
    <w:rsid w:val="00957F08"/>
    <w:rsid w:val="0096020D"/>
    <w:rsid w:val="00960342"/>
    <w:rsid w:val="009604C3"/>
    <w:rsid w:val="009636E3"/>
    <w:rsid w:val="00963E22"/>
    <w:rsid w:val="00963EE6"/>
    <w:rsid w:val="009655A9"/>
    <w:rsid w:val="009658C9"/>
    <w:rsid w:val="009669B4"/>
    <w:rsid w:val="00966CAA"/>
    <w:rsid w:val="009672A8"/>
    <w:rsid w:val="00967D5F"/>
    <w:rsid w:val="00967D83"/>
    <w:rsid w:val="00970A5A"/>
    <w:rsid w:val="00973540"/>
    <w:rsid w:val="00973C2D"/>
    <w:rsid w:val="009741C4"/>
    <w:rsid w:val="00974ACB"/>
    <w:rsid w:val="00974B55"/>
    <w:rsid w:val="00976D55"/>
    <w:rsid w:val="009809E0"/>
    <w:rsid w:val="00980A58"/>
    <w:rsid w:val="00980D03"/>
    <w:rsid w:val="009826F4"/>
    <w:rsid w:val="00982DF9"/>
    <w:rsid w:val="00982F0B"/>
    <w:rsid w:val="009842EB"/>
    <w:rsid w:val="00986980"/>
    <w:rsid w:val="00986FC4"/>
    <w:rsid w:val="009914FC"/>
    <w:rsid w:val="0099790C"/>
    <w:rsid w:val="009A6FA9"/>
    <w:rsid w:val="009B0637"/>
    <w:rsid w:val="009B2F11"/>
    <w:rsid w:val="009B4971"/>
    <w:rsid w:val="009B71C9"/>
    <w:rsid w:val="009B79FF"/>
    <w:rsid w:val="009C0D0B"/>
    <w:rsid w:val="009C26A5"/>
    <w:rsid w:val="009C30AE"/>
    <w:rsid w:val="009D2323"/>
    <w:rsid w:val="009D3065"/>
    <w:rsid w:val="009D44C2"/>
    <w:rsid w:val="009D4A61"/>
    <w:rsid w:val="009D5033"/>
    <w:rsid w:val="009D51C7"/>
    <w:rsid w:val="009D79A1"/>
    <w:rsid w:val="009E06BB"/>
    <w:rsid w:val="009E2AFF"/>
    <w:rsid w:val="009E4084"/>
    <w:rsid w:val="009E4383"/>
    <w:rsid w:val="009E56A3"/>
    <w:rsid w:val="009E6CA1"/>
    <w:rsid w:val="009E72DB"/>
    <w:rsid w:val="009F0790"/>
    <w:rsid w:val="009F20D3"/>
    <w:rsid w:val="009F2755"/>
    <w:rsid w:val="009F33E6"/>
    <w:rsid w:val="009F3638"/>
    <w:rsid w:val="009F7BF3"/>
    <w:rsid w:val="00A0295C"/>
    <w:rsid w:val="00A05CF1"/>
    <w:rsid w:val="00A076B7"/>
    <w:rsid w:val="00A07793"/>
    <w:rsid w:val="00A11C1A"/>
    <w:rsid w:val="00A12361"/>
    <w:rsid w:val="00A1272A"/>
    <w:rsid w:val="00A12B14"/>
    <w:rsid w:val="00A1321C"/>
    <w:rsid w:val="00A144BB"/>
    <w:rsid w:val="00A179D8"/>
    <w:rsid w:val="00A17CA2"/>
    <w:rsid w:val="00A20E17"/>
    <w:rsid w:val="00A21F06"/>
    <w:rsid w:val="00A308BB"/>
    <w:rsid w:val="00A322BD"/>
    <w:rsid w:val="00A336D2"/>
    <w:rsid w:val="00A337A8"/>
    <w:rsid w:val="00A3389A"/>
    <w:rsid w:val="00A34678"/>
    <w:rsid w:val="00A34D29"/>
    <w:rsid w:val="00A36010"/>
    <w:rsid w:val="00A36986"/>
    <w:rsid w:val="00A36A5B"/>
    <w:rsid w:val="00A4055D"/>
    <w:rsid w:val="00A438CC"/>
    <w:rsid w:val="00A45CEC"/>
    <w:rsid w:val="00A4744E"/>
    <w:rsid w:val="00A47BBF"/>
    <w:rsid w:val="00A5121F"/>
    <w:rsid w:val="00A51248"/>
    <w:rsid w:val="00A515E0"/>
    <w:rsid w:val="00A529CA"/>
    <w:rsid w:val="00A55C27"/>
    <w:rsid w:val="00A56F2B"/>
    <w:rsid w:val="00A579D4"/>
    <w:rsid w:val="00A57BA0"/>
    <w:rsid w:val="00A6142B"/>
    <w:rsid w:val="00A628BA"/>
    <w:rsid w:val="00A63465"/>
    <w:rsid w:val="00A649C3"/>
    <w:rsid w:val="00A65C8E"/>
    <w:rsid w:val="00A7471A"/>
    <w:rsid w:val="00A81B63"/>
    <w:rsid w:val="00A81D21"/>
    <w:rsid w:val="00A81D5C"/>
    <w:rsid w:val="00A82A1E"/>
    <w:rsid w:val="00A835D5"/>
    <w:rsid w:val="00A845B7"/>
    <w:rsid w:val="00A84B2C"/>
    <w:rsid w:val="00A84D4A"/>
    <w:rsid w:val="00A84EFC"/>
    <w:rsid w:val="00A8555C"/>
    <w:rsid w:val="00A864B0"/>
    <w:rsid w:val="00A907E5"/>
    <w:rsid w:val="00A91107"/>
    <w:rsid w:val="00A930B1"/>
    <w:rsid w:val="00A93397"/>
    <w:rsid w:val="00A94C9F"/>
    <w:rsid w:val="00A95303"/>
    <w:rsid w:val="00A9640B"/>
    <w:rsid w:val="00A97657"/>
    <w:rsid w:val="00AA252F"/>
    <w:rsid w:val="00AA4417"/>
    <w:rsid w:val="00AA4CC9"/>
    <w:rsid w:val="00AA57C1"/>
    <w:rsid w:val="00AA73F1"/>
    <w:rsid w:val="00AB13BC"/>
    <w:rsid w:val="00AB2D6F"/>
    <w:rsid w:val="00AB4117"/>
    <w:rsid w:val="00AB4F9B"/>
    <w:rsid w:val="00AB5344"/>
    <w:rsid w:val="00AB57B2"/>
    <w:rsid w:val="00AC4589"/>
    <w:rsid w:val="00AC4988"/>
    <w:rsid w:val="00AC540A"/>
    <w:rsid w:val="00AC5615"/>
    <w:rsid w:val="00AC66DC"/>
    <w:rsid w:val="00AD5BD7"/>
    <w:rsid w:val="00AD60C0"/>
    <w:rsid w:val="00AE24C6"/>
    <w:rsid w:val="00AE46E3"/>
    <w:rsid w:val="00AE4A46"/>
    <w:rsid w:val="00AE5883"/>
    <w:rsid w:val="00AE63EF"/>
    <w:rsid w:val="00AF1652"/>
    <w:rsid w:val="00AF2CAC"/>
    <w:rsid w:val="00AF4A9C"/>
    <w:rsid w:val="00AF4C10"/>
    <w:rsid w:val="00B00C67"/>
    <w:rsid w:val="00B016A6"/>
    <w:rsid w:val="00B0373E"/>
    <w:rsid w:val="00B04E91"/>
    <w:rsid w:val="00B0533F"/>
    <w:rsid w:val="00B06F96"/>
    <w:rsid w:val="00B0775A"/>
    <w:rsid w:val="00B07957"/>
    <w:rsid w:val="00B104CF"/>
    <w:rsid w:val="00B11B58"/>
    <w:rsid w:val="00B12825"/>
    <w:rsid w:val="00B1766E"/>
    <w:rsid w:val="00B203A6"/>
    <w:rsid w:val="00B2097A"/>
    <w:rsid w:val="00B218E5"/>
    <w:rsid w:val="00B2208D"/>
    <w:rsid w:val="00B25E05"/>
    <w:rsid w:val="00B263F9"/>
    <w:rsid w:val="00B27F61"/>
    <w:rsid w:val="00B30ADD"/>
    <w:rsid w:val="00B30CA8"/>
    <w:rsid w:val="00B31835"/>
    <w:rsid w:val="00B3494F"/>
    <w:rsid w:val="00B34CD6"/>
    <w:rsid w:val="00B36061"/>
    <w:rsid w:val="00B4033B"/>
    <w:rsid w:val="00B40B0B"/>
    <w:rsid w:val="00B41C36"/>
    <w:rsid w:val="00B43DCA"/>
    <w:rsid w:val="00B508AD"/>
    <w:rsid w:val="00B52F53"/>
    <w:rsid w:val="00B53ADA"/>
    <w:rsid w:val="00B5428A"/>
    <w:rsid w:val="00B54E74"/>
    <w:rsid w:val="00B569B6"/>
    <w:rsid w:val="00B571B7"/>
    <w:rsid w:val="00B57B32"/>
    <w:rsid w:val="00B57BA0"/>
    <w:rsid w:val="00B57BA4"/>
    <w:rsid w:val="00B607FE"/>
    <w:rsid w:val="00B61255"/>
    <w:rsid w:val="00B61E4B"/>
    <w:rsid w:val="00B62007"/>
    <w:rsid w:val="00B622AA"/>
    <w:rsid w:val="00B622CA"/>
    <w:rsid w:val="00B64662"/>
    <w:rsid w:val="00B6512F"/>
    <w:rsid w:val="00B72DE8"/>
    <w:rsid w:val="00B81EF6"/>
    <w:rsid w:val="00B8357E"/>
    <w:rsid w:val="00B83D74"/>
    <w:rsid w:val="00B91ECC"/>
    <w:rsid w:val="00B92581"/>
    <w:rsid w:val="00B935BF"/>
    <w:rsid w:val="00B9360F"/>
    <w:rsid w:val="00B93C7A"/>
    <w:rsid w:val="00B9409A"/>
    <w:rsid w:val="00B947B6"/>
    <w:rsid w:val="00B94BB4"/>
    <w:rsid w:val="00B9629A"/>
    <w:rsid w:val="00B964E5"/>
    <w:rsid w:val="00B96A55"/>
    <w:rsid w:val="00B96C19"/>
    <w:rsid w:val="00B9785E"/>
    <w:rsid w:val="00B97C17"/>
    <w:rsid w:val="00BA0F53"/>
    <w:rsid w:val="00BA21E1"/>
    <w:rsid w:val="00BA5D33"/>
    <w:rsid w:val="00BA6CF4"/>
    <w:rsid w:val="00BA6E5B"/>
    <w:rsid w:val="00BB1FF5"/>
    <w:rsid w:val="00BB60B0"/>
    <w:rsid w:val="00BB613E"/>
    <w:rsid w:val="00BB68DB"/>
    <w:rsid w:val="00BB6D7F"/>
    <w:rsid w:val="00BB718F"/>
    <w:rsid w:val="00BB737A"/>
    <w:rsid w:val="00BB775F"/>
    <w:rsid w:val="00BC0B19"/>
    <w:rsid w:val="00BC126C"/>
    <w:rsid w:val="00BC2A7B"/>
    <w:rsid w:val="00BC2AF5"/>
    <w:rsid w:val="00BC51A5"/>
    <w:rsid w:val="00BC54FD"/>
    <w:rsid w:val="00BD0476"/>
    <w:rsid w:val="00BD0B16"/>
    <w:rsid w:val="00BD12A3"/>
    <w:rsid w:val="00BD17DB"/>
    <w:rsid w:val="00BD35E3"/>
    <w:rsid w:val="00BD6819"/>
    <w:rsid w:val="00BD7EAF"/>
    <w:rsid w:val="00BE02D4"/>
    <w:rsid w:val="00BE4C07"/>
    <w:rsid w:val="00BE537F"/>
    <w:rsid w:val="00BE6EB2"/>
    <w:rsid w:val="00BF1423"/>
    <w:rsid w:val="00BF21F0"/>
    <w:rsid w:val="00BF28F5"/>
    <w:rsid w:val="00BF5C5E"/>
    <w:rsid w:val="00BF7140"/>
    <w:rsid w:val="00C0131E"/>
    <w:rsid w:val="00C01542"/>
    <w:rsid w:val="00C07FE2"/>
    <w:rsid w:val="00C11906"/>
    <w:rsid w:val="00C125F5"/>
    <w:rsid w:val="00C1302B"/>
    <w:rsid w:val="00C135C7"/>
    <w:rsid w:val="00C15011"/>
    <w:rsid w:val="00C161CE"/>
    <w:rsid w:val="00C171A9"/>
    <w:rsid w:val="00C1763F"/>
    <w:rsid w:val="00C2005D"/>
    <w:rsid w:val="00C2050B"/>
    <w:rsid w:val="00C269B7"/>
    <w:rsid w:val="00C26AA1"/>
    <w:rsid w:val="00C26D93"/>
    <w:rsid w:val="00C26F3A"/>
    <w:rsid w:val="00C27450"/>
    <w:rsid w:val="00C302C2"/>
    <w:rsid w:val="00C3399A"/>
    <w:rsid w:val="00C35BFA"/>
    <w:rsid w:val="00C35E19"/>
    <w:rsid w:val="00C36520"/>
    <w:rsid w:val="00C404C4"/>
    <w:rsid w:val="00C42107"/>
    <w:rsid w:val="00C44D80"/>
    <w:rsid w:val="00C4534E"/>
    <w:rsid w:val="00C476FE"/>
    <w:rsid w:val="00C51273"/>
    <w:rsid w:val="00C5150D"/>
    <w:rsid w:val="00C51BAD"/>
    <w:rsid w:val="00C52FC2"/>
    <w:rsid w:val="00C53429"/>
    <w:rsid w:val="00C56F79"/>
    <w:rsid w:val="00C60272"/>
    <w:rsid w:val="00C60846"/>
    <w:rsid w:val="00C61D9E"/>
    <w:rsid w:val="00C64258"/>
    <w:rsid w:val="00C71743"/>
    <w:rsid w:val="00C7236D"/>
    <w:rsid w:val="00C72CE5"/>
    <w:rsid w:val="00C73AE3"/>
    <w:rsid w:val="00C740A2"/>
    <w:rsid w:val="00C74E04"/>
    <w:rsid w:val="00C76844"/>
    <w:rsid w:val="00C773A6"/>
    <w:rsid w:val="00C80D46"/>
    <w:rsid w:val="00C8116C"/>
    <w:rsid w:val="00C816E0"/>
    <w:rsid w:val="00C83437"/>
    <w:rsid w:val="00C83C61"/>
    <w:rsid w:val="00C846C7"/>
    <w:rsid w:val="00C91D75"/>
    <w:rsid w:val="00C9339F"/>
    <w:rsid w:val="00C934D9"/>
    <w:rsid w:val="00C944C1"/>
    <w:rsid w:val="00C97D58"/>
    <w:rsid w:val="00CA24EE"/>
    <w:rsid w:val="00CA2535"/>
    <w:rsid w:val="00CA3863"/>
    <w:rsid w:val="00CA652D"/>
    <w:rsid w:val="00CA6ADF"/>
    <w:rsid w:val="00CB0C69"/>
    <w:rsid w:val="00CB3ECB"/>
    <w:rsid w:val="00CB6705"/>
    <w:rsid w:val="00CB75B4"/>
    <w:rsid w:val="00CB7680"/>
    <w:rsid w:val="00CC07AD"/>
    <w:rsid w:val="00CC4666"/>
    <w:rsid w:val="00CC5D8F"/>
    <w:rsid w:val="00CC7755"/>
    <w:rsid w:val="00CD139E"/>
    <w:rsid w:val="00CD4484"/>
    <w:rsid w:val="00CD47FA"/>
    <w:rsid w:val="00CD65C5"/>
    <w:rsid w:val="00CD6A03"/>
    <w:rsid w:val="00CD6FD4"/>
    <w:rsid w:val="00CD7E0D"/>
    <w:rsid w:val="00CE0388"/>
    <w:rsid w:val="00CE0AAF"/>
    <w:rsid w:val="00CE1B1D"/>
    <w:rsid w:val="00CE2D7E"/>
    <w:rsid w:val="00CE301B"/>
    <w:rsid w:val="00CE4A6D"/>
    <w:rsid w:val="00CE5DA2"/>
    <w:rsid w:val="00CE6F6F"/>
    <w:rsid w:val="00CE74FC"/>
    <w:rsid w:val="00CF1708"/>
    <w:rsid w:val="00CF2AE7"/>
    <w:rsid w:val="00CF2DB1"/>
    <w:rsid w:val="00CF36E3"/>
    <w:rsid w:val="00CF4C53"/>
    <w:rsid w:val="00CF5784"/>
    <w:rsid w:val="00CF6DFF"/>
    <w:rsid w:val="00CF71EA"/>
    <w:rsid w:val="00D00BEA"/>
    <w:rsid w:val="00D0246E"/>
    <w:rsid w:val="00D0265D"/>
    <w:rsid w:val="00D043E1"/>
    <w:rsid w:val="00D048FC"/>
    <w:rsid w:val="00D04AEA"/>
    <w:rsid w:val="00D0543A"/>
    <w:rsid w:val="00D05EE4"/>
    <w:rsid w:val="00D06D45"/>
    <w:rsid w:val="00D10FE9"/>
    <w:rsid w:val="00D111EE"/>
    <w:rsid w:val="00D12141"/>
    <w:rsid w:val="00D124EE"/>
    <w:rsid w:val="00D154DA"/>
    <w:rsid w:val="00D16127"/>
    <w:rsid w:val="00D16FD6"/>
    <w:rsid w:val="00D17966"/>
    <w:rsid w:val="00D17DDA"/>
    <w:rsid w:val="00D24C04"/>
    <w:rsid w:val="00D278BB"/>
    <w:rsid w:val="00D320E9"/>
    <w:rsid w:val="00D330B3"/>
    <w:rsid w:val="00D34DFD"/>
    <w:rsid w:val="00D35675"/>
    <w:rsid w:val="00D37033"/>
    <w:rsid w:val="00D406E5"/>
    <w:rsid w:val="00D41AC6"/>
    <w:rsid w:val="00D43573"/>
    <w:rsid w:val="00D45043"/>
    <w:rsid w:val="00D461C9"/>
    <w:rsid w:val="00D467F5"/>
    <w:rsid w:val="00D504D1"/>
    <w:rsid w:val="00D5365E"/>
    <w:rsid w:val="00D55BEB"/>
    <w:rsid w:val="00D56162"/>
    <w:rsid w:val="00D63DED"/>
    <w:rsid w:val="00D64E7D"/>
    <w:rsid w:val="00D6745D"/>
    <w:rsid w:val="00D70634"/>
    <w:rsid w:val="00D72C9A"/>
    <w:rsid w:val="00D775D4"/>
    <w:rsid w:val="00D80CE9"/>
    <w:rsid w:val="00D817CC"/>
    <w:rsid w:val="00D823A2"/>
    <w:rsid w:val="00D828D5"/>
    <w:rsid w:val="00D82EA1"/>
    <w:rsid w:val="00D8539A"/>
    <w:rsid w:val="00D855D0"/>
    <w:rsid w:val="00D86D8F"/>
    <w:rsid w:val="00D86FE1"/>
    <w:rsid w:val="00D96867"/>
    <w:rsid w:val="00DA2A63"/>
    <w:rsid w:val="00DA3D0A"/>
    <w:rsid w:val="00DA725B"/>
    <w:rsid w:val="00DB05FF"/>
    <w:rsid w:val="00DB069C"/>
    <w:rsid w:val="00DB08ED"/>
    <w:rsid w:val="00DB0BDF"/>
    <w:rsid w:val="00DB1BE5"/>
    <w:rsid w:val="00DB3BE9"/>
    <w:rsid w:val="00DB662B"/>
    <w:rsid w:val="00DB7B59"/>
    <w:rsid w:val="00DC26A9"/>
    <w:rsid w:val="00DC49BE"/>
    <w:rsid w:val="00DC567B"/>
    <w:rsid w:val="00DC6D14"/>
    <w:rsid w:val="00DC7563"/>
    <w:rsid w:val="00DD300C"/>
    <w:rsid w:val="00DD33AE"/>
    <w:rsid w:val="00DD379B"/>
    <w:rsid w:val="00DD43C9"/>
    <w:rsid w:val="00DD4941"/>
    <w:rsid w:val="00DD4CB6"/>
    <w:rsid w:val="00DD736D"/>
    <w:rsid w:val="00DE1B16"/>
    <w:rsid w:val="00DE2DD5"/>
    <w:rsid w:val="00DE3294"/>
    <w:rsid w:val="00DE3EE3"/>
    <w:rsid w:val="00DE43B8"/>
    <w:rsid w:val="00DE521F"/>
    <w:rsid w:val="00DE53D9"/>
    <w:rsid w:val="00DE57B4"/>
    <w:rsid w:val="00DE62CC"/>
    <w:rsid w:val="00DE779E"/>
    <w:rsid w:val="00DF0B97"/>
    <w:rsid w:val="00DF14D1"/>
    <w:rsid w:val="00DF2082"/>
    <w:rsid w:val="00DF26E9"/>
    <w:rsid w:val="00DF2EBC"/>
    <w:rsid w:val="00DF2FDD"/>
    <w:rsid w:val="00DF2FE1"/>
    <w:rsid w:val="00DF3289"/>
    <w:rsid w:val="00DF44E6"/>
    <w:rsid w:val="00DF4E71"/>
    <w:rsid w:val="00DF5E7B"/>
    <w:rsid w:val="00DF7291"/>
    <w:rsid w:val="00E04746"/>
    <w:rsid w:val="00E05158"/>
    <w:rsid w:val="00E053C9"/>
    <w:rsid w:val="00E060C3"/>
    <w:rsid w:val="00E06315"/>
    <w:rsid w:val="00E10173"/>
    <w:rsid w:val="00E14ABB"/>
    <w:rsid w:val="00E14EF5"/>
    <w:rsid w:val="00E15EA9"/>
    <w:rsid w:val="00E16028"/>
    <w:rsid w:val="00E2017C"/>
    <w:rsid w:val="00E201CC"/>
    <w:rsid w:val="00E20E27"/>
    <w:rsid w:val="00E22F17"/>
    <w:rsid w:val="00E23EC9"/>
    <w:rsid w:val="00E2467A"/>
    <w:rsid w:val="00E31F28"/>
    <w:rsid w:val="00E349D3"/>
    <w:rsid w:val="00E3597D"/>
    <w:rsid w:val="00E37D35"/>
    <w:rsid w:val="00E40541"/>
    <w:rsid w:val="00E405F1"/>
    <w:rsid w:val="00E40785"/>
    <w:rsid w:val="00E4258E"/>
    <w:rsid w:val="00E42FAB"/>
    <w:rsid w:val="00E43634"/>
    <w:rsid w:val="00E43E64"/>
    <w:rsid w:val="00E471F3"/>
    <w:rsid w:val="00E52796"/>
    <w:rsid w:val="00E52BE8"/>
    <w:rsid w:val="00E609C1"/>
    <w:rsid w:val="00E61F97"/>
    <w:rsid w:val="00E629DF"/>
    <w:rsid w:val="00E641E4"/>
    <w:rsid w:val="00E65A98"/>
    <w:rsid w:val="00E664A7"/>
    <w:rsid w:val="00E671B9"/>
    <w:rsid w:val="00E7533B"/>
    <w:rsid w:val="00E75742"/>
    <w:rsid w:val="00E7746D"/>
    <w:rsid w:val="00E808AD"/>
    <w:rsid w:val="00E81747"/>
    <w:rsid w:val="00E86031"/>
    <w:rsid w:val="00E86368"/>
    <w:rsid w:val="00E86935"/>
    <w:rsid w:val="00E8726D"/>
    <w:rsid w:val="00E876AC"/>
    <w:rsid w:val="00E8780A"/>
    <w:rsid w:val="00E91165"/>
    <w:rsid w:val="00E91504"/>
    <w:rsid w:val="00E969C2"/>
    <w:rsid w:val="00EA007A"/>
    <w:rsid w:val="00EA2551"/>
    <w:rsid w:val="00EA25C8"/>
    <w:rsid w:val="00EA2FDE"/>
    <w:rsid w:val="00EA38A0"/>
    <w:rsid w:val="00EA6BE6"/>
    <w:rsid w:val="00EA7A43"/>
    <w:rsid w:val="00EB09D3"/>
    <w:rsid w:val="00EB3315"/>
    <w:rsid w:val="00EB5442"/>
    <w:rsid w:val="00EB67C6"/>
    <w:rsid w:val="00EB7085"/>
    <w:rsid w:val="00EC14D6"/>
    <w:rsid w:val="00EC24F0"/>
    <w:rsid w:val="00EC2C35"/>
    <w:rsid w:val="00EC7315"/>
    <w:rsid w:val="00ED38EB"/>
    <w:rsid w:val="00ED3904"/>
    <w:rsid w:val="00ED46A6"/>
    <w:rsid w:val="00ED4C40"/>
    <w:rsid w:val="00ED4F5E"/>
    <w:rsid w:val="00ED5396"/>
    <w:rsid w:val="00ED671A"/>
    <w:rsid w:val="00EE26EA"/>
    <w:rsid w:val="00EE3522"/>
    <w:rsid w:val="00EE4D3A"/>
    <w:rsid w:val="00EE6429"/>
    <w:rsid w:val="00EE75D8"/>
    <w:rsid w:val="00EF14C5"/>
    <w:rsid w:val="00EF246B"/>
    <w:rsid w:val="00EF275C"/>
    <w:rsid w:val="00EF4C25"/>
    <w:rsid w:val="00EF4EF7"/>
    <w:rsid w:val="00EF60D4"/>
    <w:rsid w:val="00EF6522"/>
    <w:rsid w:val="00F01B02"/>
    <w:rsid w:val="00F03EF8"/>
    <w:rsid w:val="00F0470D"/>
    <w:rsid w:val="00F10839"/>
    <w:rsid w:val="00F1095A"/>
    <w:rsid w:val="00F1111F"/>
    <w:rsid w:val="00F122F0"/>
    <w:rsid w:val="00F14E96"/>
    <w:rsid w:val="00F17597"/>
    <w:rsid w:val="00F2112D"/>
    <w:rsid w:val="00F21FFE"/>
    <w:rsid w:val="00F22C2F"/>
    <w:rsid w:val="00F25019"/>
    <w:rsid w:val="00F25804"/>
    <w:rsid w:val="00F25C8F"/>
    <w:rsid w:val="00F262E4"/>
    <w:rsid w:val="00F31224"/>
    <w:rsid w:val="00F3248B"/>
    <w:rsid w:val="00F343BE"/>
    <w:rsid w:val="00F3456C"/>
    <w:rsid w:val="00F37482"/>
    <w:rsid w:val="00F37832"/>
    <w:rsid w:val="00F37EFA"/>
    <w:rsid w:val="00F402B8"/>
    <w:rsid w:val="00F40839"/>
    <w:rsid w:val="00F429EC"/>
    <w:rsid w:val="00F42D9E"/>
    <w:rsid w:val="00F4602A"/>
    <w:rsid w:val="00F469FA"/>
    <w:rsid w:val="00F47784"/>
    <w:rsid w:val="00F50BB8"/>
    <w:rsid w:val="00F527BE"/>
    <w:rsid w:val="00F53A05"/>
    <w:rsid w:val="00F54D4E"/>
    <w:rsid w:val="00F54E69"/>
    <w:rsid w:val="00F54F8D"/>
    <w:rsid w:val="00F559BB"/>
    <w:rsid w:val="00F6074F"/>
    <w:rsid w:val="00F608A6"/>
    <w:rsid w:val="00F60A1D"/>
    <w:rsid w:val="00F62AA7"/>
    <w:rsid w:val="00F64670"/>
    <w:rsid w:val="00F65BE6"/>
    <w:rsid w:val="00F66C5D"/>
    <w:rsid w:val="00F67E8C"/>
    <w:rsid w:val="00F701B6"/>
    <w:rsid w:val="00F71955"/>
    <w:rsid w:val="00F71C05"/>
    <w:rsid w:val="00F71FFF"/>
    <w:rsid w:val="00F72F06"/>
    <w:rsid w:val="00F72F55"/>
    <w:rsid w:val="00F750F5"/>
    <w:rsid w:val="00F77101"/>
    <w:rsid w:val="00F8147C"/>
    <w:rsid w:val="00F8147E"/>
    <w:rsid w:val="00F832C7"/>
    <w:rsid w:val="00F84A1E"/>
    <w:rsid w:val="00F86468"/>
    <w:rsid w:val="00F87949"/>
    <w:rsid w:val="00F901F2"/>
    <w:rsid w:val="00F90302"/>
    <w:rsid w:val="00F926F2"/>
    <w:rsid w:val="00F94511"/>
    <w:rsid w:val="00F94CC7"/>
    <w:rsid w:val="00FA1258"/>
    <w:rsid w:val="00FA2C4C"/>
    <w:rsid w:val="00FA428C"/>
    <w:rsid w:val="00FA4A36"/>
    <w:rsid w:val="00FB0F4A"/>
    <w:rsid w:val="00FB2CD8"/>
    <w:rsid w:val="00FB3057"/>
    <w:rsid w:val="00FB4EAC"/>
    <w:rsid w:val="00FB536B"/>
    <w:rsid w:val="00FB5F42"/>
    <w:rsid w:val="00FB6487"/>
    <w:rsid w:val="00FB6778"/>
    <w:rsid w:val="00FC0CDC"/>
    <w:rsid w:val="00FC2DFE"/>
    <w:rsid w:val="00FC52FF"/>
    <w:rsid w:val="00FC66D7"/>
    <w:rsid w:val="00FC6A65"/>
    <w:rsid w:val="00FC7110"/>
    <w:rsid w:val="00FD11FE"/>
    <w:rsid w:val="00FD120B"/>
    <w:rsid w:val="00FD2481"/>
    <w:rsid w:val="00FD2CBF"/>
    <w:rsid w:val="00FD6D55"/>
    <w:rsid w:val="00FD7DBD"/>
    <w:rsid w:val="00FE0FB7"/>
    <w:rsid w:val="00FE5208"/>
    <w:rsid w:val="00FE6E89"/>
    <w:rsid w:val="00FF0FFF"/>
    <w:rsid w:val="00FF191F"/>
    <w:rsid w:val="00FF2C98"/>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8A46"/>
  <w15:chartTrackingRefBased/>
  <w15:docId w15:val="{34F66724-5FA9-4698-AB96-E8D8017C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672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9672A8"/>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9672A8"/>
    <w:rPr>
      <w:rFonts w:eastAsiaTheme="minorEastAsia"/>
      <w:color w:val="44546A" w:themeColor="text2"/>
      <w:sz w:val="28"/>
    </w:rPr>
  </w:style>
  <w:style w:type="table" w:customStyle="1" w:styleId="GridTable1Light1">
    <w:name w:val="Grid Table 1 Light1"/>
    <w:basedOn w:val="TableNormal"/>
    <w:next w:val="GridTable1Light"/>
    <w:uiPriority w:val="46"/>
    <w:rsid w:val="009672A8"/>
    <w:pPr>
      <w:spacing w:after="0" w:line="240" w:lineRule="auto"/>
    </w:pPr>
    <w:rPr>
      <w:sz w:val="24"/>
      <w:szCs w:val="24"/>
    </w:rPr>
    <w:tblPr>
      <w:tblStyleRowBandSize w:val="1"/>
      <w:tblStyleColBandSize w:val="1"/>
      <w:tblBorders>
        <w:top w:val="single" w:sz="4" w:space="0" w:color="7A74D3"/>
        <w:left w:val="single" w:sz="4" w:space="0" w:color="7A74D3"/>
        <w:bottom w:val="single" w:sz="4" w:space="0" w:color="7A74D3"/>
        <w:right w:val="single" w:sz="4" w:space="0" w:color="7A74D3"/>
        <w:insideH w:val="single" w:sz="4" w:space="0" w:color="7A74D3"/>
        <w:insideV w:val="single" w:sz="4" w:space="0" w:color="7A74D3"/>
      </w:tblBorders>
    </w:tblPr>
    <w:tblStylePr w:type="firstRow">
      <w:rPr>
        <w:b/>
        <w:bCs/>
      </w:rPr>
      <w:tblPr/>
      <w:tcPr>
        <w:tcBorders>
          <w:bottom w:val="single" w:sz="12" w:space="0" w:color="4139B3"/>
        </w:tcBorders>
      </w:tcPr>
    </w:tblStylePr>
    <w:tblStylePr w:type="lastRow">
      <w:rPr>
        <w:b/>
        <w:bCs/>
      </w:rPr>
      <w:tblPr/>
      <w:tcPr>
        <w:tcBorders>
          <w:top w:val="double" w:sz="2" w:space="0" w:color="4139B3"/>
        </w:tcBorders>
      </w:tcPr>
    </w:tblStylePr>
    <w:tblStylePr w:type="firstCol">
      <w:rPr>
        <w:b/>
        <w:bCs/>
      </w:rPr>
    </w:tblStylePr>
    <w:tblStylePr w:type="lastCol">
      <w:rPr>
        <w:b/>
        <w:bCs/>
      </w:rPr>
    </w:tblStylePr>
  </w:style>
  <w:style w:type="paragraph" w:customStyle="1" w:styleId="FootnoteText1">
    <w:name w:val="Footnote Text1"/>
    <w:basedOn w:val="Normal"/>
    <w:next w:val="FootnoteText"/>
    <w:link w:val="FootnoteTextChar"/>
    <w:uiPriority w:val="99"/>
    <w:semiHidden/>
    <w:unhideWhenUsed/>
    <w:rsid w:val="009672A8"/>
    <w:pPr>
      <w:spacing w:after="0" w:line="240" w:lineRule="auto"/>
    </w:pPr>
    <w:rPr>
      <w:rFonts w:eastAsia="MS Mincho"/>
      <w:b/>
      <w:color w:val="082A75"/>
      <w:sz w:val="20"/>
      <w:szCs w:val="20"/>
    </w:rPr>
  </w:style>
  <w:style w:type="character" w:customStyle="1" w:styleId="FootnoteTextChar">
    <w:name w:val="Footnote Text Char"/>
    <w:basedOn w:val="DefaultParagraphFont"/>
    <w:link w:val="FootnoteText1"/>
    <w:uiPriority w:val="99"/>
    <w:semiHidden/>
    <w:rsid w:val="009672A8"/>
    <w:rPr>
      <w:rFonts w:eastAsia="MS Mincho"/>
      <w:b/>
      <w:color w:val="082A75"/>
      <w:sz w:val="20"/>
      <w:szCs w:val="20"/>
    </w:rPr>
  </w:style>
  <w:style w:type="character" w:styleId="FootnoteReference">
    <w:name w:val="footnote reference"/>
    <w:basedOn w:val="DefaultParagraphFont"/>
    <w:uiPriority w:val="99"/>
    <w:semiHidden/>
    <w:unhideWhenUsed/>
    <w:rsid w:val="009672A8"/>
    <w:rPr>
      <w:vertAlign w:val="superscript"/>
    </w:rPr>
  </w:style>
  <w:style w:type="table" w:styleId="GridTable1Light">
    <w:name w:val="Grid Table 1 Light"/>
    <w:basedOn w:val="TableNormal"/>
    <w:uiPriority w:val="46"/>
    <w:rsid w:val="009672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1"/>
    <w:uiPriority w:val="99"/>
    <w:semiHidden/>
    <w:unhideWhenUsed/>
    <w:rsid w:val="009672A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672A8"/>
    <w:rPr>
      <w:sz w:val="20"/>
      <w:szCs w:val="20"/>
    </w:rPr>
  </w:style>
  <w:style w:type="paragraph" w:customStyle="1" w:styleId="TipText">
    <w:name w:val="Tip Text"/>
    <w:basedOn w:val="Normal"/>
    <w:uiPriority w:val="19"/>
    <w:rsid w:val="009672A8"/>
    <w:pPr>
      <w:spacing w:line="264" w:lineRule="auto"/>
      <w:ind w:right="576"/>
    </w:pPr>
    <w:rPr>
      <w:i/>
      <w:iCs/>
      <w:color w:val="595959" w:themeColor="text1" w:themeTint="A6"/>
      <w:sz w:val="16"/>
      <w:szCs w:val="18"/>
      <w:lang w:eastAsia="ja-JP"/>
    </w:rPr>
  </w:style>
  <w:style w:type="table" w:customStyle="1" w:styleId="GridTable4-Accent11">
    <w:name w:val="Grid Table 4 - Accent 11"/>
    <w:basedOn w:val="TableNormal"/>
    <w:next w:val="GridTable4-Accent1"/>
    <w:uiPriority w:val="49"/>
    <w:rsid w:val="009672A8"/>
    <w:pPr>
      <w:spacing w:after="0" w:line="240" w:lineRule="auto"/>
    </w:pPr>
    <w:rPr>
      <w:rFonts w:ascii="Calibri" w:eastAsia="Calibri" w:hAnsi="Calibri" w:cs="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672A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link w:val="NoSpacingChar"/>
    <w:uiPriority w:val="1"/>
    <w:qFormat/>
    <w:rsid w:val="00F0470D"/>
    <w:pPr>
      <w:spacing w:after="0" w:line="240" w:lineRule="auto"/>
    </w:pPr>
    <w:rPr>
      <w:rFonts w:eastAsiaTheme="minorEastAsia"/>
    </w:rPr>
  </w:style>
  <w:style w:type="character" w:customStyle="1" w:styleId="NoSpacingChar">
    <w:name w:val="No Spacing Char"/>
    <w:basedOn w:val="DefaultParagraphFont"/>
    <w:link w:val="NoSpacing"/>
    <w:uiPriority w:val="1"/>
    <w:rsid w:val="00F0470D"/>
    <w:rPr>
      <w:rFonts w:eastAsiaTheme="minorEastAsia"/>
    </w:rPr>
  </w:style>
  <w:style w:type="character" w:customStyle="1" w:styleId="Heading1Char">
    <w:name w:val="Heading 1 Char"/>
    <w:basedOn w:val="DefaultParagraphFont"/>
    <w:link w:val="Heading1"/>
    <w:uiPriority w:val="9"/>
    <w:rsid w:val="00402B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2BDB"/>
    <w:pPr>
      <w:outlineLvl w:val="9"/>
    </w:pPr>
  </w:style>
  <w:style w:type="paragraph" w:styleId="TOC2">
    <w:name w:val="toc 2"/>
    <w:basedOn w:val="Normal"/>
    <w:next w:val="Normal"/>
    <w:autoRedefine/>
    <w:uiPriority w:val="39"/>
    <w:unhideWhenUsed/>
    <w:rsid w:val="00402BDB"/>
    <w:pPr>
      <w:spacing w:after="100"/>
      <w:ind w:left="220"/>
    </w:pPr>
    <w:rPr>
      <w:rFonts w:eastAsiaTheme="minorEastAsia" w:cs="Times New Roman"/>
    </w:rPr>
  </w:style>
  <w:style w:type="paragraph" w:styleId="TOC1">
    <w:name w:val="toc 1"/>
    <w:basedOn w:val="Normal"/>
    <w:next w:val="Normal"/>
    <w:autoRedefine/>
    <w:uiPriority w:val="39"/>
    <w:unhideWhenUsed/>
    <w:rsid w:val="00402BDB"/>
    <w:pPr>
      <w:spacing w:after="100"/>
    </w:pPr>
    <w:rPr>
      <w:rFonts w:eastAsiaTheme="minorEastAsia" w:cs="Times New Roman"/>
    </w:rPr>
  </w:style>
  <w:style w:type="paragraph" w:styleId="TOC3">
    <w:name w:val="toc 3"/>
    <w:basedOn w:val="Normal"/>
    <w:next w:val="Normal"/>
    <w:autoRedefine/>
    <w:uiPriority w:val="39"/>
    <w:unhideWhenUsed/>
    <w:rsid w:val="00402BDB"/>
    <w:pPr>
      <w:spacing w:after="100"/>
      <w:ind w:left="440"/>
    </w:pPr>
    <w:rPr>
      <w:rFonts w:eastAsiaTheme="minorEastAsia" w:cs="Times New Roman"/>
    </w:rPr>
  </w:style>
  <w:style w:type="paragraph" w:customStyle="1" w:styleId="EmphasisText">
    <w:name w:val="Emphasis Text"/>
    <w:basedOn w:val="Normal"/>
    <w:link w:val="EmphasisTextChar"/>
    <w:qFormat/>
    <w:rsid w:val="00491103"/>
    <w:pPr>
      <w:spacing w:after="0" w:line="276" w:lineRule="auto"/>
    </w:pPr>
    <w:rPr>
      <w:rFonts w:eastAsia="MS Mincho"/>
      <w:b/>
      <w:color w:val="082A75"/>
      <w:sz w:val="28"/>
    </w:rPr>
  </w:style>
  <w:style w:type="character" w:customStyle="1" w:styleId="EmphasisTextChar">
    <w:name w:val="Emphasis Text Char"/>
    <w:basedOn w:val="DefaultParagraphFont"/>
    <w:link w:val="EmphasisText"/>
    <w:rsid w:val="00491103"/>
    <w:rPr>
      <w:rFonts w:eastAsia="MS Mincho"/>
      <w:b/>
      <w:color w:val="082A75"/>
      <w:sz w:val="28"/>
    </w:rPr>
  </w:style>
  <w:style w:type="paragraph" w:styleId="Header">
    <w:name w:val="header"/>
    <w:basedOn w:val="Normal"/>
    <w:link w:val="HeaderChar"/>
    <w:uiPriority w:val="99"/>
    <w:unhideWhenUsed/>
    <w:rsid w:val="005C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39"/>
  </w:style>
  <w:style w:type="paragraph" w:styleId="Footer">
    <w:name w:val="footer"/>
    <w:basedOn w:val="Normal"/>
    <w:link w:val="FooterChar"/>
    <w:uiPriority w:val="99"/>
    <w:unhideWhenUsed/>
    <w:rsid w:val="005C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39"/>
  </w:style>
  <w:style w:type="paragraph" w:styleId="ListParagraph">
    <w:name w:val="List Paragraph"/>
    <w:basedOn w:val="Normal"/>
    <w:uiPriority w:val="34"/>
    <w:qFormat/>
    <w:rsid w:val="00A91107"/>
    <w:pPr>
      <w:ind w:left="720"/>
      <w:contextualSpacing/>
    </w:pPr>
  </w:style>
  <w:style w:type="table" w:styleId="TableGridLight">
    <w:name w:val="Grid Table Light"/>
    <w:basedOn w:val="TableNormal"/>
    <w:uiPriority w:val="40"/>
    <w:rsid w:val="00701D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01D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01D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701D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2A60B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766FF"/>
    <w:rPr>
      <w:color w:val="0563C1" w:themeColor="hyperlink"/>
      <w:u w:val="single"/>
    </w:rPr>
  </w:style>
  <w:style w:type="character" w:styleId="UnresolvedMention">
    <w:name w:val="Unresolved Mention"/>
    <w:basedOn w:val="DefaultParagraphFont"/>
    <w:uiPriority w:val="99"/>
    <w:rsid w:val="003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mailto:EMontilla@solanocoun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Release type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Pretrial Supervision</c:v>
                </c:pt>
                <c:pt idx="1">
                  <c:v>ORR</c:v>
                </c:pt>
                <c:pt idx="2">
                  <c:v>Denied Program Release </c:v>
                </c:pt>
              </c:strCache>
            </c:strRef>
          </c:cat>
          <c:val>
            <c:numRef>
              <c:f>Sheet1!$B$2:$B$4</c:f>
              <c:numCache>
                <c:formatCode>General</c:formatCode>
                <c:ptCount val="3"/>
                <c:pt idx="0">
                  <c:v>160</c:v>
                </c:pt>
                <c:pt idx="1">
                  <c:v>96</c:v>
                </c:pt>
                <c:pt idx="2">
                  <c:v>489</c:v>
                </c:pt>
              </c:numCache>
            </c:numRef>
          </c:val>
          <c:extLst>
            <c:ext xmlns:c16="http://schemas.microsoft.com/office/drawing/2014/chart" uri="{C3380CC4-5D6E-409C-BE32-E72D297353CC}">
              <c16:uniqueId val="{00000000-03EA-491D-9046-C7F63A0DD0C9}"/>
            </c:ext>
          </c:extLst>
        </c:ser>
        <c:dLbls>
          <c:dLblPos val="ctr"/>
          <c:showLegendKey val="0"/>
          <c:showVal val="1"/>
          <c:showCatName val="0"/>
          <c:showSerName val="0"/>
          <c:showPercent val="0"/>
          <c:showBubbleSize val="0"/>
        </c:dLbls>
        <c:gapWidth val="79"/>
        <c:overlap val="100"/>
        <c:axId val="564187296"/>
        <c:axId val="564186048"/>
      </c:barChart>
      <c:catAx>
        <c:axId val="56418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64186048"/>
        <c:crosses val="autoZero"/>
        <c:auto val="1"/>
        <c:lblAlgn val="ctr"/>
        <c:lblOffset val="100"/>
        <c:noMultiLvlLbl val="0"/>
      </c:catAx>
      <c:valAx>
        <c:axId val="564186048"/>
        <c:scaling>
          <c:orientation val="minMax"/>
        </c:scaling>
        <c:delete val="1"/>
        <c:axPos val="b"/>
        <c:numFmt formatCode="General" sourceLinked="1"/>
        <c:majorTickMark val="none"/>
        <c:minorTickMark val="none"/>
        <c:tickLblPos val="nextTo"/>
        <c:crossAx val="564187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the Latine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0.68230000000000002</c:v>
                </c:pt>
                <c:pt idx="2">
                  <c:v>0</c:v>
                </c:pt>
              </c:numCache>
            </c:numRef>
          </c:val>
          <c:extLst>
            <c:ext xmlns:c16="http://schemas.microsoft.com/office/drawing/2014/chart" uri="{C3380CC4-5D6E-409C-BE32-E72D297353CC}">
              <c16:uniqueId val="{00000000-F88C-4F2F-966D-B59B37739682}"/>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0.30769999999999997</c:v>
                </c:pt>
                <c:pt idx="2">
                  <c:v>0</c:v>
                </c:pt>
              </c:numCache>
            </c:numRef>
          </c:val>
          <c:extLst>
            <c:ext xmlns:c16="http://schemas.microsoft.com/office/drawing/2014/chart" uri="{C3380CC4-5D6E-409C-BE32-E72D297353CC}">
              <c16:uniqueId val="{00000001-F88C-4F2F-966D-B59B37739682}"/>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a:t>
            </a:r>
            <a:r>
              <a:rPr lang="en-US" baseline="0"/>
              <a:t> risk level for the female population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0.78569999999999995</c:v>
                </c:pt>
                <c:pt idx="2">
                  <c:v>0.6</c:v>
                </c:pt>
              </c:numCache>
            </c:numRef>
          </c:val>
          <c:extLst>
            <c:ext xmlns:c16="http://schemas.microsoft.com/office/drawing/2014/chart" uri="{C3380CC4-5D6E-409C-BE32-E72D297353CC}">
              <c16:uniqueId val="{00000000-605C-4A1B-AD35-660FF2AC1607}"/>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0.21429999999999999</c:v>
                </c:pt>
                <c:pt idx="2">
                  <c:v>0.4</c:v>
                </c:pt>
              </c:numCache>
            </c:numRef>
          </c:val>
          <c:extLst>
            <c:ext xmlns:c16="http://schemas.microsoft.com/office/drawing/2014/chart" uri="{C3380CC4-5D6E-409C-BE32-E72D297353CC}">
              <c16:uniqueId val="{00000001-605C-4A1B-AD35-660FF2AC1607}"/>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a:t>
            </a:r>
            <a:r>
              <a:rPr lang="en-US" baseline="0"/>
              <a:t> risk level for the male population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0.76039999999999996</c:v>
                </c:pt>
                <c:pt idx="2">
                  <c:v>0.63639999999999997</c:v>
                </c:pt>
              </c:numCache>
            </c:numRef>
          </c:val>
          <c:extLst>
            <c:ext xmlns:c16="http://schemas.microsoft.com/office/drawing/2014/chart" uri="{C3380CC4-5D6E-409C-BE32-E72D297353CC}">
              <c16:uniqueId val="{00000000-0861-47C1-950F-33B904C051CE}"/>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0.23960000000000001</c:v>
                </c:pt>
                <c:pt idx="2">
                  <c:v>0.36359999999999998</c:v>
                </c:pt>
              </c:numCache>
            </c:numRef>
          </c:val>
          <c:extLst>
            <c:ext xmlns:c16="http://schemas.microsoft.com/office/drawing/2014/chart" uri="{C3380CC4-5D6E-409C-BE32-E72D297353CC}">
              <c16:uniqueId val="{00000001-0861-47C1-950F-33B904C051CE}"/>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FTA by</a:t>
            </a:r>
            <a:r>
              <a:rPr lang="en-US" baseline="0"/>
              <a:t> Risk Score</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0 (n=1)</c:v>
                </c:pt>
                <c:pt idx="1">
                  <c:v>1 (n=15)</c:v>
                </c:pt>
                <c:pt idx="2">
                  <c:v>2 (n=15)</c:v>
                </c:pt>
                <c:pt idx="3">
                  <c:v>3 (n=42)</c:v>
                </c:pt>
                <c:pt idx="4">
                  <c:v>4 (n=43) </c:v>
                </c:pt>
                <c:pt idx="5">
                  <c:v>5(n=44)</c:v>
                </c:pt>
                <c:pt idx="6">
                  <c:v>6 (n=19)</c:v>
                </c:pt>
                <c:pt idx="7">
                  <c:v>7 (n=10)</c:v>
                </c:pt>
                <c:pt idx="8">
                  <c:v>8(n=6)</c:v>
                </c:pt>
                <c:pt idx="9">
                  <c:v>9 (n=3)</c:v>
                </c:pt>
              </c:strCache>
            </c:strRef>
          </c:cat>
          <c:val>
            <c:numRef>
              <c:f>Sheet1!$B$2:$B$11</c:f>
              <c:numCache>
                <c:formatCode>General</c:formatCode>
                <c:ptCount val="10"/>
                <c:pt idx="0">
                  <c:v>1</c:v>
                </c:pt>
                <c:pt idx="1">
                  <c:v>15</c:v>
                </c:pt>
                <c:pt idx="2">
                  <c:v>13</c:v>
                </c:pt>
                <c:pt idx="3">
                  <c:v>35</c:v>
                </c:pt>
                <c:pt idx="4">
                  <c:v>39</c:v>
                </c:pt>
                <c:pt idx="5">
                  <c:v>33</c:v>
                </c:pt>
                <c:pt idx="6">
                  <c:v>14</c:v>
                </c:pt>
                <c:pt idx="7">
                  <c:v>8</c:v>
                </c:pt>
                <c:pt idx="8">
                  <c:v>3</c:v>
                </c:pt>
                <c:pt idx="9">
                  <c:v>2</c:v>
                </c:pt>
              </c:numCache>
            </c:numRef>
          </c:val>
          <c:extLst>
            <c:ext xmlns:c16="http://schemas.microsoft.com/office/drawing/2014/chart" uri="{C3380CC4-5D6E-409C-BE32-E72D297353CC}">
              <c16:uniqueId val="{00000000-460B-4913-82FE-EF957EB1E426}"/>
            </c:ext>
          </c:extLst>
        </c:ser>
        <c:ser>
          <c:idx val="1"/>
          <c:order val="1"/>
          <c:tx>
            <c:strRef>
              <c:f>Sheet1!$C$1</c:f>
              <c:strCache>
                <c:ptCount val="1"/>
                <c:pt idx="0">
                  <c:v>FTA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0 (n=1)</c:v>
                </c:pt>
                <c:pt idx="1">
                  <c:v>1 (n=15)</c:v>
                </c:pt>
                <c:pt idx="2">
                  <c:v>2 (n=15)</c:v>
                </c:pt>
                <c:pt idx="3">
                  <c:v>3 (n=42)</c:v>
                </c:pt>
                <c:pt idx="4">
                  <c:v>4 (n=43) </c:v>
                </c:pt>
                <c:pt idx="5">
                  <c:v>5(n=44)</c:v>
                </c:pt>
                <c:pt idx="6">
                  <c:v>6 (n=19)</c:v>
                </c:pt>
                <c:pt idx="7">
                  <c:v>7 (n=10)</c:v>
                </c:pt>
                <c:pt idx="8">
                  <c:v>8(n=6)</c:v>
                </c:pt>
                <c:pt idx="9">
                  <c:v>9 (n=3)</c:v>
                </c:pt>
              </c:strCache>
            </c:strRef>
          </c:cat>
          <c:val>
            <c:numRef>
              <c:f>Sheet1!$C$2:$C$11</c:f>
              <c:numCache>
                <c:formatCode>General</c:formatCode>
                <c:ptCount val="10"/>
                <c:pt idx="0">
                  <c:v>0</c:v>
                </c:pt>
                <c:pt idx="1">
                  <c:v>0</c:v>
                </c:pt>
                <c:pt idx="2">
                  <c:v>2</c:v>
                </c:pt>
                <c:pt idx="3">
                  <c:v>7</c:v>
                </c:pt>
                <c:pt idx="4">
                  <c:v>4</c:v>
                </c:pt>
                <c:pt idx="5">
                  <c:v>11</c:v>
                </c:pt>
                <c:pt idx="6">
                  <c:v>5</c:v>
                </c:pt>
                <c:pt idx="7">
                  <c:v>2</c:v>
                </c:pt>
                <c:pt idx="8">
                  <c:v>3</c:v>
                </c:pt>
                <c:pt idx="9">
                  <c:v>1</c:v>
                </c:pt>
              </c:numCache>
            </c:numRef>
          </c:val>
          <c:extLst>
            <c:ext xmlns:c16="http://schemas.microsoft.com/office/drawing/2014/chart" uri="{C3380CC4-5D6E-409C-BE32-E72D297353CC}">
              <c16:uniqueId val="{00000001-460B-4913-82FE-EF957EB1E426}"/>
            </c:ext>
          </c:extLst>
        </c:ser>
        <c:dLbls>
          <c:dLblPos val="outEnd"/>
          <c:showLegendKey val="0"/>
          <c:showVal val="1"/>
          <c:showCatName val="0"/>
          <c:showSerName val="0"/>
          <c:showPercent val="0"/>
          <c:showBubbleSize val="0"/>
        </c:dLbls>
        <c:gapWidth val="444"/>
        <c:overlap val="-90"/>
        <c:axId val="1823408767"/>
        <c:axId val="1823402111"/>
      </c:barChart>
      <c:catAx>
        <c:axId val="1823408767"/>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23402111"/>
        <c:crosses val="autoZero"/>
        <c:auto val="1"/>
        <c:lblAlgn val="ctr"/>
        <c:lblOffset val="100"/>
        <c:noMultiLvlLbl val="0"/>
      </c:catAx>
      <c:valAx>
        <c:axId val="1823402111"/>
        <c:scaling>
          <c:orientation val="minMax"/>
        </c:scaling>
        <c:delete val="1"/>
        <c:axPos val="l"/>
        <c:numFmt formatCode="General" sourceLinked="1"/>
        <c:majorTickMark val="none"/>
        <c:minorTickMark val="none"/>
        <c:tickLblPos val="nextTo"/>
        <c:crossAx val="18234087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FTA by</a:t>
            </a:r>
            <a:r>
              <a:rPr lang="en-US" baseline="0"/>
              <a:t> Risk Level</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 (n=31)</c:v>
                </c:pt>
                <c:pt idx="1">
                  <c:v>Moderate (n=129) </c:v>
                </c:pt>
                <c:pt idx="2">
                  <c:v>High (n=38)</c:v>
                </c:pt>
              </c:strCache>
            </c:strRef>
          </c:cat>
          <c:val>
            <c:numRef>
              <c:f>Sheet1!$B$2:$B$4</c:f>
              <c:numCache>
                <c:formatCode>General</c:formatCode>
                <c:ptCount val="3"/>
                <c:pt idx="0">
                  <c:v>29</c:v>
                </c:pt>
                <c:pt idx="1">
                  <c:v>107</c:v>
                </c:pt>
                <c:pt idx="2">
                  <c:v>27</c:v>
                </c:pt>
              </c:numCache>
            </c:numRef>
          </c:val>
          <c:extLst>
            <c:ext xmlns:c16="http://schemas.microsoft.com/office/drawing/2014/chart" uri="{C3380CC4-5D6E-409C-BE32-E72D297353CC}">
              <c16:uniqueId val="{00000000-6A41-4F6E-B72E-200C8843BBB6}"/>
            </c:ext>
          </c:extLst>
        </c:ser>
        <c:ser>
          <c:idx val="1"/>
          <c:order val="1"/>
          <c:tx>
            <c:strRef>
              <c:f>Sheet1!$C$1</c:f>
              <c:strCache>
                <c:ptCount val="1"/>
                <c:pt idx="0">
                  <c:v>FTA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 (n=31)</c:v>
                </c:pt>
                <c:pt idx="1">
                  <c:v>Moderate (n=129) </c:v>
                </c:pt>
                <c:pt idx="2">
                  <c:v>High (n=38)</c:v>
                </c:pt>
              </c:strCache>
            </c:strRef>
          </c:cat>
          <c:val>
            <c:numRef>
              <c:f>Sheet1!$C$2:$C$4</c:f>
              <c:numCache>
                <c:formatCode>General</c:formatCode>
                <c:ptCount val="3"/>
                <c:pt idx="0">
                  <c:v>2</c:v>
                </c:pt>
                <c:pt idx="1">
                  <c:v>22</c:v>
                </c:pt>
                <c:pt idx="2">
                  <c:v>11</c:v>
                </c:pt>
              </c:numCache>
            </c:numRef>
          </c:val>
          <c:extLst>
            <c:ext xmlns:c16="http://schemas.microsoft.com/office/drawing/2014/chart" uri="{C3380CC4-5D6E-409C-BE32-E72D297353CC}">
              <c16:uniqueId val="{00000001-6A41-4F6E-B72E-200C8843BBB6}"/>
            </c:ext>
          </c:extLst>
        </c:ser>
        <c:dLbls>
          <c:dLblPos val="outEnd"/>
          <c:showLegendKey val="0"/>
          <c:showVal val="1"/>
          <c:showCatName val="0"/>
          <c:showSerName val="0"/>
          <c:showPercent val="0"/>
          <c:showBubbleSize val="0"/>
        </c:dLbls>
        <c:gapWidth val="444"/>
        <c:overlap val="-90"/>
        <c:axId val="1823408767"/>
        <c:axId val="1823402111"/>
      </c:barChart>
      <c:catAx>
        <c:axId val="1823408767"/>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23402111"/>
        <c:crosses val="autoZero"/>
        <c:auto val="1"/>
        <c:lblAlgn val="ctr"/>
        <c:lblOffset val="100"/>
        <c:noMultiLvlLbl val="0"/>
      </c:catAx>
      <c:valAx>
        <c:axId val="1823402111"/>
        <c:scaling>
          <c:orientation val="minMax"/>
        </c:scaling>
        <c:delete val="1"/>
        <c:axPos val="l"/>
        <c:numFmt formatCode="General" sourceLinked="1"/>
        <c:majorTickMark val="none"/>
        <c:minorTickMark val="none"/>
        <c:tickLblPos val="nextTo"/>
        <c:crossAx val="18234087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white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Low </c:v>
                </c:pt>
                <c:pt idx="1">
                  <c:v>Moderate</c:v>
                </c:pt>
                <c:pt idx="2">
                  <c:v>High </c:v>
                </c:pt>
              </c:strCache>
            </c:strRef>
          </c:cat>
          <c:val>
            <c:numRef>
              <c:f>Sheet1!$B$2:$B$4</c:f>
              <c:numCache>
                <c:formatCode>0%</c:formatCode>
                <c:ptCount val="3"/>
                <c:pt idx="0">
                  <c:v>1</c:v>
                </c:pt>
                <c:pt idx="1">
                  <c:v>0.86660000000000004</c:v>
                </c:pt>
                <c:pt idx="2">
                  <c:v>0.6</c:v>
                </c:pt>
              </c:numCache>
            </c:numRef>
          </c:val>
          <c:extLst>
            <c:ext xmlns:c16="http://schemas.microsoft.com/office/drawing/2014/chart" uri="{C3380CC4-5D6E-409C-BE32-E72D297353CC}">
              <c16:uniqueId val="{00000000-8222-4603-81D1-CADA2161216D}"/>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Low </c:v>
                </c:pt>
                <c:pt idx="1">
                  <c:v>Moderate</c:v>
                </c:pt>
                <c:pt idx="2">
                  <c:v>High </c:v>
                </c:pt>
              </c:strCache>
            </c:strRef>
          </c:cat>
          <c:val>
            <c:numRef>
              <c:f>Sheet1!$C$2:$C$4</c:f>
              <c:numCache>
                <c:formatCode>0%</c:formatCode>
                <c:ptCount val="3"/>
                <c:pt idx="0">
                  <c:v>0</c:v>
                </c:pt>
                <c:pt idx="1">
                  <c:v>0.10340000000000001</c:v>
                </c:pt>
                <c:pt idx="2">
                  <c:v>0.4</c:v>
                </c:pt>
              </c:numCache>
            </c:numRef>
          </c:val>
          <c:extLst>
            <c:ext xmlns:c16="http://schemas.microsoft.com/office/drawing/2014/chart" uri="{C3380CC4-5D6E-409C-BE32-E72D297353CC}">
              <c16:uniqueId val="{00000001-8222-4603-81D1-CADA2161216D}"/>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the Black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0.89470000000000005</c:v>
                </c:pt>
                <c:pt idx="2">
                  <c:v>0.64290000000000003</c:v>
                </c:pt>
              </c:numCache>
            </c:numRef>
          </c:val>
          <c:extLst>
            <c:ext xmlns:c16="http://schemas.microsoft.com/office/drawing/2014/chart" uri="{C3380CC4-5D6E-409C-BE32-E72D297353CC}">
              <c16:uniqueId val="{00000000-6582-441F-B7ED-CF4B06EE736F}"/>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0.1053</c:v>
                </c:pt>
                <c:pt idx="2">
                  <c:v>0.35709999999999997</c:v>
                </c:pt>
              </c:numCache>
            </c:numRef>
          </c:val>
          <c:extLst>
            <c:ext xmlns:c16="http://schemas.microsoft.com/office/drawing/2014/chart" uri="{C3380CC4-5D6E-409C-BE32-E72D297353CC}">
              <c16:uniqueId val="{00000001-6582-441F-B7ED-CF4B06EE736F}"/>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the Latine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0.9</c:v>
                </c:pt>
                <c:pt idx="1">
                  <c:v>0.72729999999999995</c:v>
                </c:pt>
                <c:pt idx="2">
                  <c:v>1</c:v>
                </c:pt>
              </c:numCache>
            </c:numRef>
          </c:val>
          <c:extLst>
            <c:ext xmlns:c16="http://schemas.microsoft.com/office/drawing/2014/chart" uri="{C3380CC4-5D6E-409C-BE32-E72D297353CC}">
              <c16:uniqueId val="{00000000-CF12-4FB7-818B-6F68D56AFAD7}"/>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0.1</c:v>
                </c:pt>
                <c:pt idx="1">
                  <c:v>0.2727</c:v>
                </c:pt>
                <c:pt idx="2">
                  <c:v>0</c:v>
                </c:pt>
              </c:numCache>
            </c:numRef>
          </c:val>
          <c:extLst>
            <c:ext xmlns:c16="http://schemas.microsoft.com/office/drawing/2014/chart" uri="{C3380CC4-5D6E-409C-BE32-E72D297353CC}">
              <c16:uniqueId val="{00000001-CF12-4FB7-818B-6F68D56AFAD7}"/>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the Asian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0.75</c:v>
                </c:pt>
                <c:pt idx="1">
                  <c:v>0.55559999999999998</c:v>
                </c:pt>
                <c:pt idx="2">
                  <c:v>1</c:v>
                </c:pt>
              </c:numCache>
            </c:numRef>
          </c:val>
          <c:extLst>
            <c:ext xmlns:c16="http://schemas.microsoft.com/office/drawing/2014/chart" uri="{C3380CC4-5D6E-409C-BE32-E72D297353CC}">
              <c16:uniqueId val="{00000000-2B8C-41AE-9CE8-16C0187FD751}"/>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0.25</c:v>
                </c:pt>
                <c:pt idx="1">
                  <c:v>0.44440000000000002</c:v>
                </c:pt>
                <c:pt idx="2">
                  <c:v>0</c:v>
                </c:pt>
              </c:numCache>
            </c:numRef>
          </c:val>
          <c:extLst>
            <c:ext xmlns:c16="http://schemas.microsoft.com/office/drawing/2014/chart" uri="{C3380CC4-5D6E-409C-BE32-E72D297353CC}">
              <c16:uniqueId val="{00000001-2B8C-41AE-9CE8-16C0187FD751}"/>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a:t>
            </a:r>
            <a:r>
              <a:rPr lang="en-US" baseline="0"/>
              <a:t> risk level for the female population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0.92589999999999995</c:v>
                </c:pt>
                <c:pt idx="2">
                  <c:v>0.6</c:v>
                </c:pt>
              </c:numCache>
            </c:numRef>
          </c:val>
          <c:extLst>
            <c:ext xmlns:c16="http://schemas.microsoft.com/office/drawing/2014/chart" uri="{C3380CC4-5D6E-409C-BE32-E72D297353CC}">
              <c16:uniqueId val="{00000000-65B1-4703-9E1C-BB493BD6490D}"/>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7.4099999999999999E-2</c:v>
                </c:pt>
                <c:pt idx="2">
                  <c:v>0.25</c:v>
                </c:pt>
              </c:numCache>
            </c:numRef>
          </c:val>
          <c:extLst>
            <c:ext xmlns:c16="http://schemas.microsoft.com/office/drawing/2014/chart" uri="{C3380CC4-5D6E-409C-BE32-E72D297353CC}">
              <c16:uniqueId val="{00000001-65B1-4703-9E1C-BB493BD6490D}"/>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risk level by release type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Pretrial Supervision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Sheet1!$B$2:$B$4</c:f>
              <c:numCache>
                <c:formatCode>General</c:formatCode>
                <c:ptCount val="3"/>
                <c:pt idx="0">
                  <c:v>20</c:v>
                </c:pt>
                <c:pt idx="1">
                  <c:v>124</c:v>
                </c:pt>
                <c:pt idx="2">
                  <c:v>16</c:v>
                </c:pt>
              </c:numCache>
            </c:numRef>
          </c:val>
          <c:extLst>
            <c:ext xmlns:c16="http://schemas.microsoft.com/office/drawing/2014/chart" uri="{C3380CC4-5D6E-409C-BE32-E72D297353CC}">
              <c16:uniqueId val="{00000000-68D1-40BC-A349-3D2AD8052DD4}"/>
            </c:ext>
          </c:extLst>
        </c:ser>
        <c:ser>
          <c:idx val="1"/>
          <c:order val="1"/>
          <c:tx>
            <c:strRef>
              <c:f>Sheet1!$C$1</c:f>
              <c:strCache>
                <c:ptCount val="1"/>
                <c:pt idx="0">
                  <c:v>ORR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Sheet1!$C$2:$C$4</c:f>
              <c:numCache>
                <c:formatCode>General</c:formatCode>
                <c:ptCount val="3"/>
                <c:pt idx="0">
                  <c:v>37</c:v>
                </c:pt>
                <c:pt idx="1">
                  <c:v>24</c:v>
                </c:pt>
                <c:pt idx="2">
                  <c:v>35</c:v>
                </c:pt>
              </c:numCache>
            </c:numRef>
          </c:val>
          <c:extLst>
            <c:ext xmlns:c16="http://schemas.microsoft.com/office/drawing/2014/chart" uri="{C3380CC4-5D6E-409C-BE32-E72D297353CC}">
              <c16:uniqueId val="{00000001-68D1-40BC-A349-3D2AD8052DD4}"/>
            </c:ext>
          </c:extLst>
        </c:ser>
        <c:ser>
          <c:idx val="2"/>
          <c:order val="2"/>
          <c:tx>
            <c:strRef>
              <c:f>Sheet1!$D$1</c:f>
              <c:strCache>
                <c:ptCount val="1"/>
                <c:pt idx="0">
                  <c:v>Denied Pretrail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Sheet1!$D$2:$D$4</c:f>
              <c:numCache>
                <c:formatCode>General</c:formatCode>
                <c:ptCount val="3"/>
                <c:pt idx="0">
                  <c:v>74</c:v>
                </c:pt>
                <c:pt idx="1">
                  <c:v>165</c:v>
                </c:pt>
                <c:pt idx="2">
                  <c:v>250</c:v>
                </c:pt>
              </c:numCache>
            </c:numRef>
          </c:val>
          <c:extLst>
            <c:ext xmlns:c16="http://schemas.microsoft.com/office/drawing/2014/chart" uri="{C3380CC4-5D6E-409C-BE32-E72D297353CC}">
              <c16:uniqueId val="{00000004-68D1-40BC-A349-3D2AD8052DD4}"/>
            </c:ext>
          </c:extLst>
        </c:ser>
        <c:dLbls>
          <c:dLblPos val="ctr"/>
          <c:showLegendKey val="0"/>
          <c:showVal val="1"/>
          <c:showCatName val="0"/>
          <c:showSerName val="0"/>
          <c:showPercent val="0"/>
          <c:showBubbleSize val="0"/>
        </c:dLbls>
        <c:gapWidth val="79"/>
        <c:overlap val="100"/>
        <c:axId val="1663614528"/>
        <c:axId val="1663623264"/>
      </c:barChart>
      <c:catAx>
        <c:axId val="1663614528"/>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63623264"/>
        <c:crosses val="autoZero"/>
        <c:auto val="1"/>
        <c:lblAlgn val="ctr"/>
        <c:lblOffset val="100"/>
        <c:noMultiLvlLbl val="0"/>
      </c:catAx>
      <c:valAx>
        <c:axId val="1663623264"/>
        <c:scaling>
          <c:orientation val="minMax"/>
        </c:scaling>
        <c:delete val="1"/>
        <c:axPos val="l"/>
        <c:numFmt formatCode="0%" sourceLinked="1"/>
        <c:majorTickMark val="none"/>
        <c:minorTickMark val="none"/>
        <c:tickLblPos val="nextTo"/>
        <c:crossAx val="1663614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a:t>
            </a:r>
            <a:r>
              <a:rPr lang="en-US" baseline="0"/>
              <a:t> risk level for the male population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0.92589999999999995</c:v>
                </c:pt>
                <c:pt idx="1">
                  <c:v>0.80389999999999995</c:v>
                </c:pt>
                <c:pt idx="2">
                  <c:v>0.69230000000000003</c:v>
                </c:pt>
              </c:numCache>
            </c:numRef>
          </c:val>
          <c:extLst>
            <c:ext xmlns:c16="http://schemas.microsoft.com/office/drawing/2014/chart" uri="{C3380CC4-5D6E-409C-BE32-E72D297353CC}">
              <c16:uniqueId val="{00000000-050D-4459-82ED-DF3C815162E8}"/>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7.4099999999999999E-2</c:v>
                </c:pt>
                <c:pt idx="1">
                  <c:v>0.1961</c:v>
                </c:pt>
                <c:pt idx="2">
                  <c:v>0.30769999999999997</c:v>
                </c:pt>
              </c:numCache>
            </c:numRef>
          </c:val>
          <c:extLst>
            <c:ext xmlns:c16="http://schemas.microsoft.com/office/drawing/2014/chart" uri="{C3380CC4-5D6E-409C-BE32-E72D297353CC}">
              <c16:uniqueId val="{00000001-050D-4459-82ED-DF3C815162E8}"/>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Risk Level by Race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Sheet1!$B$2:$B$4</c:f>
              <c:numCache>
                <c:formatCode>General</c:formatCode>
                <c:ptCount val="3"/>
                <c:pt idx="0">
                  <c:v>42</c:v>
                </c:pt>
                <c:pt idx="1">
                  <c:v>87</c:v>
                </c:pt>
                <c:pt idx="2">
                  <c:v>135</c:v>
                </c:pt>
              </c:numCache>
            </c:numRef>
          </c:val>
          <c:extLst>
            <c:ext xmlns:c16="http://schemas.microsoft.com/office/drawing/2014/chart" uri="{C3380CC4-5D6E-409C-BE32-E72D297353CC}">
              <c16:uniqueId val="{00000000-10A9-4657-ACFB-F04DBB7777AA}"/>
            </c:ext>
          </c:extLst>
        </c:ser>
        <c:ser>
          <c:idx val="1"/>
          <c:order val="1"/>
          <c:tx>
            <c:strRef>
              <c:f>Sheet1!$C$1</c:f>
              <c:strCache>
                <c:ptCount val="1"/>
                <c:pt idx="0">
                  <c:v>Black</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Sheet1!$C$2:$C$4</c:f>
              <c:numCache>
                <c:formatCode>General</c:formatCode>
                <c:ptCount val="3"/>
                <c:pt idx="0">
                  <c:v>47</c:v>
                </c:pt>
                <c:pt idx="1">
                  <c:v>129</c:v>
                </c:pt>
                <c:pt idx="2">
                  <c:v>99</c:v>
                </c:pt>
              </c:numCache>
            </c:numRef>
          </c:val>
          <c:extLst>
            <c:ext xmlns:c16="http://schemas.microsoft.com/office/drawing/2014/chart" uri="{C3380CC4-5D6E-409C-BE32-E72D297353CC}">
              <c16:uniqueId val="{00000001-10A9-4657-ACFB-F04DBB7777AA}"/>
            </c:ext>
          </c:extLst>
        </c:ser>
        <c:ser>
          <c:idx val="2"/>
          <c:order val="2"/>
          <c:tx>
            <c:strRef>
              <c:f>Sheet1!$D$1</c:f>
              <c:strCache>
                <c:ptCount val="1"/>
                <c:pt idx="0">
                  <c:v>Latine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Sheet1!$D$2:$D$4</c:f>
              <c:numCache>
                <c:formatCode>General</c:formatCode>
                <c:ptCount val="3"/>
                <c:pt idx="0">
                  <c:v>36</c:v>
                </c:pt>
                <c:pt idx="1">
                  <c:v>72</c:v>
                </c:pt>
                <c:pt idx="2">
                  <c:v>57</c:v>
                </c:pt>
              </c:numCache>
            </c:numRef>
          </c:val>
          <c:extLst>
            <c:ext xmlns:c16="http://schemas.microsoft.com/office/drawing/2014/chart" uri="{C3380CC4-5D6E-409C-BE32-E72D297353CC}">
              <c16:uniqueId val="{00000002-10A9-4657-ACFB-F04DBB7777AA}"/>
            </c:ext>
          </c:extLst>
        </c:ser>
        <c:ser>
          <c:idx val="3"/>
          <c:order val="3"/>
          <c:tx>
            <c:strRef>
              <c:f>Sheet1!$E$1</c:f>
              <c:strCache>
                <c:ptCount val="1"/>
                <c:pt idx="0">
                  <c:v>Asian</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Sheet1!$E$2:$E$4</c:f>
              <c:numCache>
                <c:formatCode>General</c:formatCode>
                <c:ptCount val="3"/>
                <c:pt idx="0">
                  <c:v>3</c:v>
                </c:pt>
                <c:pt idx="1">
                  <c:v>7</c:v>
                </c:pt>
                <c:pt idx="2">
                  <c:v>18</c:v>
                </c:pt>
              </c:numCache>
            </c:numRef>
          </c:val>
          <c:extLst>
            <c:ext xmlns:c16="http://schemas.microsoft.com/office/drawing/2014/chart" uri="{C3380CC4-5D6E-409C-BE32-E72D297353CC}">
              <c16:uniqueId val="{00000003-10A9-4657-ACFB-F04DBB7777AA}"/>
            </c:ext>
          </c:extLst>
        </c:ser>
        <c:ser>
          <c:idx val="4"/>
          <c:order val="4"/>
          <c:tx>
            <c:strRef>
              <c:f>Sheet1!$F$1</c:f>
              <c:strCache>
                <c:ptCount val="1"/>
                <c:pt idx="0">
                  <c:v>Native American</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Sheet1!$F$2:$F$4</c:f>
              <c:numCache>
                <c:formatCode>General</c:formatCode>
                <c:ptCount val="3"/>
                <c:pt idx="0">
                  <c:v>0</c:v>
                </c:pt>
                <c:pt idx="1">
                  <c:v>2</c:v>
                </c:pt>
                <c:pt idx="2">
                  <c:v>1</c:v>
                </c:pt>
              </c:numCache>
            </c:numRef>
          </c:val>
          <c:extLst>
            <c:ext xmlns:c16="http://schemas.microsoft.com/office/drawing/2014/chart" uri="{C3380CC4-5D6E-409C-BE32-E72D297353CC}">
              <c16:uniqueId val="{00000004-10A9-4657-ACFB-F04DBB7777AA}"/>
            </c:ext>
          </c:extLst>
        </c:ser>
        <c:ser>
          <c:idx val="5"/>
          <c:order val="5"/>
          <c:tx>
            <c:strRef>
              <c:f>Sheet1!$G$1</c:f>
              <c:strCache>
                <c:ptCount val="1"/>
                <c:pt idx="0">
                  <c:v>Other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Sheet1!$G$2:$G$4</c:f>
              <c:numCache>
                <c:formatCode>General</c:formatCode>
                <c:ptCount val="3"/>
                <c:pt idx="0">
                  <c:v>7</c:v>
                </c:pt>
                <c:pt idx="1">
                  <c:v>4</c:v>
                </c:pt>
                <c:pt idx="2">
                  <c:v>7</c:v>
                </c:pt>
              </c:numCache>
            </c:numRef>
          </c:val>
          <c:extLst>
            <c:ext xmlns:c16="http://schemas.microsoft.com/office/drawing/2014/chart" uri="{C3380CC4-5D6E-409C-BE32-E72D297353CC}">
              <c16:uniqueId val="{00000006-10A9-4657-ACFB-F04DBB7777AA}"/>
            </c:ext>
          </c:extLst>
        </c:ser>
        <c:dLbls>
          <c:dLblPos val="outEnd"/>
          <c:showLegendKey val="0"/>
          <c:showVal val="1"/>
          <c:showCatName val="0"/>
          <c:showSerName val="0"/>
          <c:showPercent val="0"/>
          <c:showBubbleSize val="0"/>
        </c:dLbls>
        <c:gapWidth val="444"/>
        <c:overlap val="-90"/>
        <c:axId val="1964151375"/>
        <c:axId val="1964153455"/>
      </c:barChart>
      <c:catAx>
        <c:axId val="1964151375"/>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64153455"/>
        <c:crosses val="autoZero"/>
        <c:auto val="1"/>
        <c:lblAlgn val="ctr"/>
        <c:lblOffset val="100"/>
        <c:noMultiLvlLbl val="0"/>
      </c:catAx>
      <c:valAx>
        <c:axId val="1964153455"/>
        <c:scaling>
          <c:orientation val="minMax"/>
        </c:scaling>
        <c:delete val="1"/>
        <c:axPos val="l"/>
        <c:numFmt formatCode="General" sourceLinked="1"/>
        <c:majorTickMark val="none"/>
        <c:minorTickMark val="none"/>
        <c:tickLblPos val="nextTo"/>
        <c:crossAx val="19641513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Release Type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Count</c:v>
                </c:pt>
              </c:strCache>
            </c:strRef>
          </c:tx>
          <c:spPr>
            <a:solidFill>
              <a:schemeClr val="accent1">
                <a:alpha val="85000"/>
              </a:schemeClr>
            </a:solidFill>
            <a:ln w="9525">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ORR</c:v>
                </c:pt>
                <c:pt idx="1">
                  <c:v>Pretrial Supervision</c:v>
                </c:pt>
                <c:pt idx="2">
                  <c:v>Denied Pretrial Supervision</c:v>
                </c:pt>
              </c:strCache>
            </c:strRef>
          </c:cat>
          <c:val>
            <c:numRef>
              <c:f>Sheet1!$B$2:$B$5</c:f>
              <c:numCache>
                <c:formatCode>General</c:formatCode>
                <c:ptCount val="4"/>
                <c:pt idx="0">
                  <c:v>85</c:v>
                </c:pt>
                <c:pt idx="1">
                  <c:v>198</c:v>
                </c:pt>
                <c:pt idx="2">
                  <c:v>245</c:v>
                </c:pt>
              </c:numCache>
            </c:numRef>
          </c:val>
          <c:extLst>
            <c:ext xmlns:c16="http://schemas.microsoft.com/office/drawing/2014/chart" uri="{C3380CC4-5D6E-409C-BE32-E72D297353CC}">
              <c16:uniqueId val="{00000000-978F-495E-93A1-15C3FAE44347}"/>
            </c:ext>
          </c:extLst>
        </c:ser>
        <c:dLbls>
          <c:dLblPos val="inEnd"/>
          <c:showLegendKey val="0"/>
          <c:showVal val="1"/>
          <c:showCatName val="0"/>
          <c:showSerName val="0"/>
          <c:showPercent val="0"/>
          <c:showBubbleSize val="0"/>
        </c:dLbls>
        <c:gapWidth val="65"/>
        <c:axId val="1823402943"/>
        <c:axId val="1823407103"/>
      </c:barChart>
      <c:catAx>
        <c:axId val="1823402943"/>
        <c:scaling>
          <c:orientation val="minMax"/>
        </c:scaling>
        <c:delete val="0"/>
        <c:axPos val="l"/>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23407103"/>
        <c:crosses val="autoZero"/>
        <c:auto val="1"/>
        <c:lblAlgn val="ctr"/>
        <c:lblOffset val="100"/>
        <c:noMultiLvlLbl val="0"/>
      </c:catAx>
      <c:valAx>
        <c:axId val="1823407103"/>
        <c:scaling>
          <c:orientation val="minMax"/>
        </c:scaling>
        <c:delete val="0"/>
        <c:axPos val="b"/>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823402943"/>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risk level by release type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Sheet1!$B$1</c:f>
              <c:strCache>
                <c:ptCount val="1"/>
                <c:pt idx="0">
                  <c:v>Pretrial Supervision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Sheet1!$B$2:$B$4</c:f>
              <c:numCache>
                <c:formatCode>General</c:formatCode>
                <c:ptCount val="3"/>
                <c:pt idx="0">
                  <c:v>31</c:v>
                </c:pt>
                <c:pt idx="1">
                  <c:v>129</c:v>
                </c:pt>
                <c:pt idx="2">
                  <c:v>38</c:v>
                </c:pt>
              </c:numCache>
            </c:numRef>
          </c:val>
          <c:extLst>
            <c:ext xmlns:c16="http://schemas.microsoft.com/office/drawing/2014/chart" uri="{C3380CC4-5D6E-409C-BE32-E72D297353CC}">
              <c16:uniqueId val="{00000000-36AD-407D-907F-402ACAF511CF}"/>
            </c:ext>
          </c:extLst>
        </c:ser>
        <c:ser>
          <c:idx val="1"/>
          <c:order val="1"/>
          <c:tx>
            <c:strRef>
              <c:f>Sheet1!$C$1</c:f>
              <c:strCache>
                <c:ptCount val="1"/>
                <c:pt idx="0">
                  <c:v>ORR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Sheet1!$C$2:$C$4</c:f>
              <c:numCache>
                <c:formatCode>General</c:formatCode>
                <c:ptCount val="3"/>
                <c:pt idx="0">
                  <c:v>44</c:v>
                </c:pt>
                <c:pt idx="1">
                  <c:v>12</c:v>
                </c:pt>
                <c:pt idx="2">
                  <c:v>29</c:v>
                </c:pt>
              </c:numCache>
            </c:numRef>
          </c:val>
          <c:extLst>
            <c:ext xmlns:c16="http://schemas.microsoft.com/office/drawing/2014/chart" uri="{C3380CC4-5D6E-409C-BE32-E72D297353CC}">
              <c16:uniqueId val="{00000001-36AD-407D-907F-402ACAF511CF}"/>
            </c:ext>
          </c:extLst>
        </c:ser>
        <c:ser>
          <c:idx val="2"/>
          <c:order val="2"/>
          <c:tx>
            <c:strRef>
              <c:f>Sheet1!$D$1</c:f>
              <c:strCache>
                <c:ptCount val="1"/>
                <c:pt idx="0">
                  <c:v>Denied Pretrail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c:v>
                </c:pt>
                <c:pt idx="1">
                  <c:v>Moderate</c:v>
                </c:pt>
                <c:pt idx="2">
                  <c:v>High</c:v>
                </c:pt>
              </c:strCache>
            </c:strRef>
          </c:cat>
          <c:val>
            <c:numRef>
              <c:f>Sheet1!$D$2:$D$4</c:f>
              <c:numCache>
                <c:formatCode>General</c:formatCode>
                <c:ptCount val="3"/>
                <c:pt idx="0">
                  <c:v>36</c:v>
                </c:pt>
                <c:pt idx="1">
                  <c:v>85</c:v>
                </c:pt>
                <c:pt idx="2">
                  <c:v>124</c:v>
                </c:pt>
              </c:numCache>
            </c:numRef>
          </c:val>
          <c:extLst>
            <c:ext xmlns:c16="http://schemas.microsoft.com/office/drawing/2014/chart" uri="{C3380CC4-5D6E-409C-BE32-E72D297353CC}">
              <c16:uniqueId val="{00000002-36AD-407D-907F-402ACAF511CF}"/>
            </c:ext>
          </c:extLst>
        </c:ser>
        <c:dLbls>
          <c:dLblPos val="ctr"/>
          <c:showLegendKey val="0"/>
          <c:showVal val="1"/>
          <c:showCatName val="0"/>
          <c:showSerName val="0"/>
          <c:showPercent val="0"/>
          <c:showBubbleSize val="0"/>
        </c:dLbls>
        <c:gapWidth val="79"/>
        <c:overlap val="100"/>
        <c:axId val="1663614528"/>
        <c:axId val="1663623264"/>
      </c:barChart>
      <c:catAx>
        <c:axId val="1663614528"/>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663623264"/>
        <c:crosses val="autoZero"/>
        <c:auto val="1"/>
        <c:lblAlgn val="ctr"/>
        <c:lblOffset val="100"/>
        <c:noMultiLvlLbl val="0"/>
      </c:catAx>
      <c:valAx>
        <c:axId val="1663623264"/>
        <c:scaling>
          <c:orientation val="minMax"/>
        </c:scaling>
        <c:delete val="1"/>
        <c:axPos val="l"/>
        <c:numFmt formatCode="0%" sourceLinked="1"/>
        <c:majorTickMark val="none"/>
        <c:minorTickMark val="none"/>
        <c:tickLblPos val="nextTo"/>
        <c:crossAx val="1663614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FTA by</a:t>
            </a:r>
            <a:r>
              <a:rPr lang="en-US" baseline="0"/>
              <a:t> Risk Score</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0 (n=1)</c:v>
                </c:pt>
                <c:pt idx="1">
                  <c:v>1 (n=6)</c:v>
                </c:pt>
                <c:pt idx="2">
                  <c:v>2 (n=13)</c:v>
                </c:pt>
                <c:pt idx="3">
                  <c:v>3 (n=39)</c:v>
                </c:pt>
                <c:pt idx="4">
                  <c:v>4 (n=40) </c:v>
                </c:pt>
                <c:pt idx="5">
                  <c:v>5(n=45)</c:v>
                </c:pt>
                <c:pt idx="6">
                  <c:v>6 (n=8)</c:v>
                </c:pt>
                <c:pt idx="7">
                  <c:v>7 (n=3)</c:v>
                </c:pt>
                <c:pt idx="8">
                  <c:v>8(n=3)</c:v>
                </c:pt>
                <c:pt idx="9">
                  <c:v>9 (n=2)</c:v>
                </c:pt>
              </c:strCache>
            </c:strRef>
          </c:cat>
          <c:val>
            <c:numRef>
              <c:f>Sheet1!$B$2:$B$11</c:f>
              <c:numCache>
                <c:formatCode>General</c:formatCode>
                <c:ptCount val="10"/>
                <c:pt idx="0">
                  <c:v>1</c:v>
                </c:pt>
                <c:pt idx="1">
                  <c:v>6</c:v>
                </c:pt>
                <c:pt idx="2">
                  <c:v>13</c:v>
                </c:pt>
                <c:pt idx="3">
                  <c:v>31</c:v>
                </c:pt>
                <c:pt idx="4">
                  <c:v>30</c:v>
                </c:pt>
                <c:pt idx="5">
                  <c:v>34</c:v>
                </c:pt>
                <c:pt idx="6">
                  <c:v>4</c:v>
                </c:pt>
                <c:pt idx="7">
                  <c:v>3</c:v>
                </c:pt>
                <c:pt idx="8">
                  <c:v>2</c:v>
                </c:pt>
                <c:pt idx="9">
                  <c:v>1</c:v>
                </c:pt>
              </c:numCache>
            </c:numRef>
          </c:val>
          <c:extLst>
            <c:ext xmlns:c16="http://schemas.microsoft.com/office/drawing/2014/chart" uri="{C3380CC4-5D6E-409C-BE32-E72D297353CC}">
              <c16:uniqueId val="{00000000-CD99-42C3-9338-9A3DBEA50C24}"/>
            </c:ext>
          </c:extLst>
        </c:ser>
        <c:ser>
          <c:idx val="1"/>
          <c:order val="1"/>
          <c:tx>
            <c:strRef>
              <c:f>Sheet1!$C$1</c:f>
              <c:strCache>
                <c:ptCount val="1"/>
                <c:pt idx="0">
                  <c:v>FTA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0 (n=1)</c:v>
                </c:pt>
                <c:pt idx="1">
                  <c:v>1 (n=6)</c:v>
                </c:pt>
                <c:pt idx="2">
                  <c:v>2 (n=13)</c:v>
                </c:pt>
                <c:pt idx="3">
                  <c:v>3 (n=39)</c:v>
                </c:pt>
                <c:pt idx="4">
                  <c:v>4 (n=40) </c:v>
                </c:pt>
                <c:pt idx="5">
                  <c:v>5(n=45)</c:v>
                </c:pt>
                <c:pt idx="6">
                  <c:v>6 (n=8)</c:v>
                </c:pt>
                <c:pt idx="7">
                  <c:v>7 (n=3)</c:v>
                </c:pt>
                <c:pt idx="8">
                  <c:v>8(n=3)</c:v>
                </c:pt>
                <c:pt idx="9">
                  <c:v>9 (n=2)</c:v>
                </c:pt>
              </c:strCache>
            </c:strRef>
          </c:cat>
          <c:val>
            <c:numRef>
              <c:f>Sheet1!$C$2:$C$11</c:f>
              <c:numCache>
                <c:formatCode>General</c:formatCode>
                <c:ptCount val="10"/>
                <c:pt idx="0">
                  <c:v>0</c:v>
                </c:pt>
                <c:pt idx="1">
                  <c:v>0</c:v>
                </c:pt>
                <c:pt idx="2">
                  <c:v>0</c:v>
                </c:pt>
                <c:pt idx="3">
                  <c:v>8</c:v>
                </c:pt>
                <c:pt idx="4">
                  <c:v>10</c:v>
                </c:pt>
                <c:pt idx="5">
                  <c:v>11</c:v>
                </c:pt>
                <c:pt idx="6">
                  <c:v>4</c:v>
                </c:pt>
                <c:pt idx="7">
                  <c:v>0</c:v>
                </c:pt>
                <c:pt idx="8">
                  <c:v>1</c:v>
                </c:pt>
                <c:pt idx="9">
                  <c:v>1</c:v>
                </c:pt>
              </c:numCache>
            </c:numRef>
          </c:val>
          <c:extLst>
            <c:ext xmlns:c16="http://schemas.microsoft.com/office/drawing/2014/chart" uri="{C3380CC4-5D6E-409C-BE32-E72D297353CC}">
              <c16:uniqueId val="{00000001-CD99-42C3-9338-9A3DBEA50C24}"/>
            </c:ext>
          </c:extLst>
        </c:ser>
        <c:dLbls>
          <c:dLblPos val="outEnd"/>
          <c:showLegendKey val="0"/>
          <c:showVal val="1"/>
          <c:showCatName val="0"/>
          <c:showSerName val="0"/>
          <c:showPercent val="0"/>
          <c:showBubbleSize val="0"/>
        </c:dLbls>
        <c:gapWidth val="444"/>
        <c:overlap val="-90"/>
        <c:axId val="1823408767"/>
        <c:axId val="1823402111"/>
      </c:barChart>
      <c:catAx>
        <c:axId val="1823408767"/>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23402111"/>
        <c:crosses val="autoZero"/>
        <c:auto val="1"/>
        <c:lblAlgn val="ctr"/>
        <c:lblOffset val="100"/>
        <c:noMultiLvlLbl val="0"/>
      </c:catAx>
      <c:valAx>
        <c:axId val="1823402111"/>
        <c:scaling>
          <c:orientation val="minMax"/>
        </c:scaling>
        <c:delete val="1"/>
        <c:axPos val="l"/>
        <c:numFmt formatCode="General" sourceLinked="1"/>
        <c:majorTickMark val="none"/>
        <c:minorTickMark val="none"/>
        <c:tickLblPos val="nextTo"/>
        <c:crossAx val="18234087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FTA by</a:t>
            </a:r>
            <a:r>
              <a:rPr lang="en-US" baseline="0"/>
              <a:t> Risk Level</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 (n=20)</c:v>
                </c:pt>
                <c:pt idx="1">
                  <c:v>Moderate (n=124) </c:v>
                </c:pt>
                <c:pt idx="2">
                  <c:v>High (n=16)</c:v>
                </c:pt>
              </c:strCache>
            </c:strRef>
          </c:cat>
          <c:val>
            <c:numRef>
              <c:f>Sheet1!$B$2:$B$4</c:f>
              <c:numCache>
                <c:formatCode>General</c:formatCode>
                <c:ptCount val="3"/>
                <c:pt idx="0">
                  <c:v>20</c:v>
                </c:pt>
                <c:pt idx="1">
                  <c:v>95</c:v>
                </c:pt>
                <c:pt idx="2">
                  <c:v>10</c:v>
                </c:pt>
              </c:numCache>
            </c:numRef>
          </c:val>
          <c:extLst>
            <c:ext xmlns:c16="http://schemas.microsoft.com/office/drawing/2014/chart" uri="{C3380CC4-5D6E-409C-BE32-E72D297353CC}">
              <c16:uniqueId val="{00000000-9674-4244-A11B-6C2B9A003660}"/>
            </c:ext>
          </c:extLst>
        </c:ser>
        <c:ser>
          <c:idx val="1"/>
          <c:order val="1"/>
          <c:tx>
            <c:strRef>
              <c:f>Sheet1!$C$1</c:f>
              <c:strCache>
                <c:ptCount val="1"/>
                <c:pt idx="0">
                  <c:v>FTA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Low (n=20)</c:v>
                </c:pt>
                <c:pt idx="1">
                  <c:v>Moderate (n=124) </c:v>
                </c:pt>
                <c:pt idx="2">
                  <c:v>High (n=16)</c:v>
                </c:pt>
              </c:strCache>
            </c:strRef>
          </c:cat>
          <c:val>
            <c:numRef>
              <c:f>Sheet1!$C$2:$C$4</c:f>
              <c:numCache>
                <c:formatCode>General</c:formatCode>
                <c:ptCount val="3"/>
                <c:pt idx="0">
                  <c:v>0</c:v>
                </c:pt>
                <c:pt idx="1">
                  <c:v>29</c:v>
                </c:pt>
                <c:pt idx="2">
                  <c:v>6</c:v>
                </c:pt>
              </c:numCache>
            </c:numRef>
          </c:val>
          <c:extLst>
            <c:ext xmlns:c16="http://schemas.microsoft.com/office/drawing/2014/chart" uri="{C3380CC4-5D6E-409C-BE32-E72D297353CC}">
              <c16:uniqueId val="{00000001-9674-4244-A11B-6C2B9A003660}"/>
            </c:ext>
          </c:extLst>
        </c:ser>
        <c:dLbls>
          <c:dLblPos val="outEnd"/>
          <c:showLegendKey val="0"/>
          <c:showVal val="1"/>
          <c:showCatName val="0"/>
          <c:showSerName val="0"/>
          <c:showPercent val="0"/>
          <c:showBubbleSize val="0"/>
        </c:dLbls>
        <c:gapWidth val="444"/>
        <c:overlap val="-90"/>
        <c:axId val="1823408767"/>
        <c:axId val="1823402111"/>
      </c:barChart>
      <c:catAx>
        <c:axId val="1823408767"/>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23402111"/>
        <c:crosses val="autoZero"/>
        <c:auto val="1"/>
        <c:lblAlgn val="ctr"/>
        <c:lblOffset val="100"/>
        <c:noMultiLvlLbl val="0"/>
      </c:catAx>
      <c:valAx>
        <c:axId val="1823402111"/>
        <c:scaling>
          <c:orientation val="minMax"/>
        </c:scaling>
        <c:delete val="1"/>
        <c:axPos val="l"/>
        <c:numFmt formatCode="General" sourceLinked="1"/>
        <c:majorTickMark val="none"/>
        <c:minorTickMark val="none"/>
        <c:tickLblPos val="nextTo"/>
        <c:crossAx val="18234087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white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Low </c:v>
                </c:pt>
                <c:pt idx="1">
                  <c:v>Moderate</c:v>
                </c:pt>
                <c:pt idx="2">
                  <c:v>High </c:v>
                </c:pt>
              </c:strCache>
            </c:strRef>
          </c:cat>
          <c:val>
            <c:numRef>
              <c:f>Sheet1!$B$2:$B$4</c:f>
              <c:numCache>
                <c:formatCode>0%</c:formatCode>
                <c:ptCount val="3"/>
                <c:pt idx="0">
                  <c:v>1</c:v>
                </c:pt>
                <c:pt idx="1">
                  <c:v>0.78380000000000005</c:v>
                </c:pt>
                <c:pt idx="2">
                  <c:v>0.375</c:v>
                </c:pt>
              </c:numCache>
            </c:numRef>
          </c:val>
          <c:extLst>
            <c:ext xmlns:c16="http://schemas.microsoft.com/office/drawing/2014/chart" uri="{C3380CC4-5D6E-409C-BE32-E72D297353CC}">
              <c16:uniqueId val="{00000000-6ED0-403B-B7CC-A4DF984477FE}"/>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Low </c:v>
                </c:pt>
                <c:pt idx="1">
                  <c:v>Moderate</c:v>
                </c:pt>
                <c:pt idx="2">
                  <c:v>High </c:v>
                </c:pt>
              </c:strCache>
            </c:strRef>
          </c:cat>
          <c:val>
            <c:numRef>
              <c:f>Sheet1!$C$2:$C$4</c:f>
              <c:numCache>
                <c:formatCode>0%</c:formatCode>
                <c:ptCount val="3"/>
                <c:pt idx="0">
                  <c:v>0</c:v>
                </c:pt>
                <c:pt idx="1">
                  <c:v>0.2162</c:v>
                </c:pt>
                <c:pt idx="2">
                  <c:v>0.625</c:v>
                </c:pt>
              </c:numCache>
            </c:numRef>
          </c:val>
          <c:extLst>
            <c:ext xmlns:c16="http://schemas.microsoft.com/office/drawing/2014/chart" uri="{C3380CC4-5D6E-409C-BE32-E72D297353CC}">
              <c16:uniqueId val="{00000001-6ED0-403B-B7CC-A4DF984477FE}"/>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FTA rate by race for the Black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Non-FTA</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Sheet1!$B$2:$B$5</c:f>
              <c:numCache>
                <c:formatCode>0%</c:formatCode>
                <c:ptCount val="4"/>
                <c:pt idx="0">
                  <c:v>1</c:v>
                </c:pt>
                <c:pt idx="1">
                  <c:v>0.76790000000000003</c:v>
                </c:pt>
                <c:pt idx="2">
                  <c:v>0.85709999999999997</c:v>
                </c:pt>
              </c:numCache>
            </c:numRef>
          </c:val>
          <c:extLst>
            <c:ext xmlns:c16="http://schemas.microsoft.com/office/drawing/2014/chart" uri="{C3380CC4-5D6E-409C-BE32-E72D297353CC}">
              <c16:uniqueId val="{00000000-51E0-4FC5-9B88-8C2366B0498C}"/>
            </c:ext>
          </c:extLst>
        </c:ser>
        <c:ser>
          <c:idx val="1"/>
          <c:order val="1"/>
          <c:tx>
            <c:strRef>
              <c:f>Sheet1!$C$1</c:f>
              <c:strCache>
                <c:ptCount val="1"/>
                <c:pt idx="0">
                  <c:v>FTA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Low </c:v>
                </c:pt>
                <c:pt idx="1">
                  <c:v>Moderate</c:v>
                </c:pt>
                <c:pt idx="2">
                  <c:v>High </c:v>
                </c:pt>
              </c:strCache>
            </c:strRef>
          </c:cat>
          <c:val>
            <c:numRef>
              <c:f>Sheet1!$C$2:$C$5</c:f>
              <c:numCache>
                <c:formatCode>0%</c:formatCode>
                <c:ptCount val="4"/>
                <c:pt idx="0">
                  <c:v>0</c:v>
                </c:pt>
                <c:pt idx="1">
                  <c:v>0.2321</c:v>
                </c:pt>
                <c:pt idx="2">
                  <c:v>0.1867</c:v>
                </c:pt>
              </c:numCache>
            </c:numRef>
          </c:val>
          <c:extLst>
            <c:ext xmlns:c16="http://schemas.microsoft.com/office/drawing/2014/chart" uri="{C3380CC4-5D6E-409C-BE32-E72D297353CC}">
              <c16:uniqueId val="{00000001-51E0-4FC5-9B88-8C2366B0498C}"/>
            </c:ext>
          </c:extLst>
        </c:ser>
        <c:dLbls>
          <c:dLblPos val="inEnd"/>
          <c:showLegendKey val="0"/>
          <c:showVal val="1"/>
          <c:showCatName val="0"/>
          <c:showSerName val="0"/>
          <c:showPercent val="0"/>
          <c:showBubbleSize val="0"/>
        </c:dLbls>
        <c:gapWidth val="65"/>
        <c:axId val="2016356064"/>
        <c:axId val="2016363968"/>
      </c:barChart>
      <c:catAx>
        <c:axId val="2016356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16363968"/>
        <c:crosses val="autoZero"/>
        <c:auto val="1"/>
        <c:lblAlgn val="ctr"/>
        <c:lblOffset val="100"/>
        <c:noMultiLvlLbl val="0"/>
      </c:catAx>
      <c:valAx>
        <c:axId val="2016363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20163560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amaliam2@uci.edu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2A6C2-746C-43D7-94AB-3E087BBC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7650</Words>
  <Characters>43610</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Solano County Pretrial risk assessment report</vt:lpstr>
    </vt:vector>
  </TitlesOfParts>
  <Company>June 2021</Company>
  <LinksUpToDate>false</LinksUpToDate>
  <CharactersWithSpaces>51158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Solano County Pretrial risk assessment report</dc:title>
  <dc:creator>Amalia Mejia</dc:creator>
  <cp:lastModifiedBy>Albright, Shawna L.</cp:lastModifiedBy>
  <cp:revision>2</cp:revision>
  <dcterms:created xsi:type="dcterms:W3CDTF">2021-07-30T14:36:00Z</dcterms:created>
  <dcterms:modified xsi:type="dcterms:W3CDTF">2021-07-30T14:36:00Z</dcterms:modified>
</cp:coreProperties>
</file>